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F4F16" w14:textId="745CA538" w:rsidR="0005203A" w:rsidRDefault="0005203A" w:rsidP="00ED5115">
      <w:pPr>
        <w:rPr>
          <w:rFonts w:ascii="Century Gothic" w:hAnsi="Century Gothic"/>
        </w:rPr>
      </w:pPr>
    </w:p>
    <w:p w14:paraId="2AC86E30" w14:textId="08D4D90B" w:rsidR="00630F73" w:rsidRDefault="00630F73" w:rsidP="000A0263">
      <w:pPr>
        <w:rPr>
          <w:rFonts w:asciiTheme="majorHAnsi" w:hAnsiTheme="majorHAnsi"/>
          <w:i/>
          <w:sz w:val="22"/>
          <w:szCs w:val="22"/>
        </w:rPr>
      </w:pPr>
      <w:r w:rsidRPr="00630F73">
        <w:rPr>
          <w:rFonts w:asciiTheme="majorHAnsi" w:hAnsiTheme="majorHAnsi"/>
          <w:i/>
          <w:sz w:val="22"/>
          <w:szCs w:val="22"/>
        </w:rPr>
        <w:t xml:space="preserve">This policy blends a formal grievance procedure that one might find in a unionized setting and a more general approach to conflict resolution. This policy is also not strictly an operational policy since the board as a role to play </w:t>
      </w:r>
      <w:r>
        <w:rPr>
          <w:rFonts w:asciiTheme="majorHAnsi" w:hAnsiTheme="majorHAnsi"/>
          <w:i/>
          <w:sz w:val="22"/>
          <w:szCs w:val="22"/>
        </w:rPr>
        <w:t>as described here</w:t>
      </w:r>
      <w:r w:rsidRPr="00630F73">
        <w:rPr>
          <w:rFonts w:asciiTheme="majorHAnsi" w:hAnsiTheme="majorHAnsi"/>
          <w:i/>
          <w:sz w:val="22"/>
          <w:szCs w:val="22"/>
        </w:rPr>
        <w:t xml:space="preserve"> </w:t>
      </w:r>
    </w:p>
    <w:p w14:paraId="4487774D" w14:textId="77777777" w:rsidR="00630F73" w:rsidRDefault="00630F73" w:rsidP="00630F73">
      <w:pPr>
        <w:pStyle w:val="EndnoteText"/>
      </w:pPr>
    </w:p>
    <w:p w14:paraId="17F59CA7" w14:textId="66DEA29A" w:rsidR="00630F73" w:rsidRPr="00630F73" w:rsidRDefault="00630F73" w:rsidP="00630F73">
      <w:pPr>
        <w:pStyle w:val="EndnoteText"/>
        <w:rPr>
          <w:rFonts w:asciiTheme="majorHAnsi" w:hAnsiTheme="majorHAnsi"/>
          <w:i/>
          <w:sz w:val="22"/>
          <w:szCs w:val="22"/>
        </w:rPr>
      </w:pPr>
      <w:r w:rsidRPr="00630F73">
        <w:rPr>
          <w:rFonts w:asciiTheme="majorHAnsi" w:hAnsiTheme="majorHAnsi"/>
          <w:i/>
          <w:sz w:val="22"/>
          <w:szCs w:val="22"/>
        </w:rPr>
        <w:t>Confidentiality in dispute resolution processes is generally thought to be essential. A case can be made for having some documentation, at least of the fact that a conflict resolution meeting took place and that a resolution was found or not, to put in personnel files. Indeed, in a situation where it is determined that the conflict is tied to the executi</w:t>
      </w:r>
      <w:r>
        <w:rPr>
          <w:rFonts w:asciiTheme="majorHAnsi" w:hAnsiTheme="majorHAnsi"/>
          <w:i/>
          <w:sz w:val="22"/>
          <w:szCs w:val="22"/>
        </w:rPr>
        <w:t>ve director’s failure to follow</w:t>
      </w:r>
      <w:r w:rsidRPr="00630F73">
        <w:rPr>
          <w:rFonts w:asciiTheme="majorHAnsi" w:hAnsiTheme="majorHAnsi"/>
          <w:i/>
          <w:sz w:val="22"/>
          <w:szCs w:val="22"/>
        </w:rPr>
        <w:t xml:space="preserve"> board pol</w:t>
      </w:r>
      <w:r>
        <w:rPr>
          <w:rFonts w:asciiTheme="majorHAnsi" w:hAnsiTheme="majorHAnsi"/>
          <w:i/>
          <w:sz w:val="22"/>
          <w:szCs w:val="22"/>
        </w:rPr>
        <w:t xml:space="preserve">icy, the fact of incident may </w:t>
      </w:r>
      <w:r w:rsidRPr="00630F73">
        <w:rPr>
          <w:rFonts w:asciiTheme="majorHAnsi" w:hAnsiTheme="majorHAnsi"/>
          <w:i/>
          <w:sz w:val="22"/>
          <w:szCs w:val="22"/>
        </w:rPr>
        <w:t xml:space="preserve">be </w:t>
      </w:r>
      <w:r>
        <w:rPr>
          <w:rFonts w:asciiTheme="majorHAnsi" w:hAnsiTheme="majorHAnsi"/>
          <w:i/>
          <w:sz w:val="22"/>
          <w:szCs w:val="22"/>
        </w:rPr>
        <w:t xml:space="preserve">one piece of information used in the ED’s </w:t>
      </w:r>
      <w:r w:rsidRPr="00630F73">
        <w:rPr>
          <w:rFonts w:asciiTheme="majorHAnsi" w:hAnsiTheme="majorHAnsi"/>
          <w:i/>
          <w:sz w:val="22"/>
          <w:szCs w:val="22"/>
        </w:rPr>
        <w:t>evaluation.</w:t>
      </w:r>
    </w:p>
    <w:p w14:paraId="3D3E3EA2" w14:textId="77777777" w:rsidR="00630F73" w:rsidRPr="00630F73" w:rsidRDefault="00630F73" w:rsidP="000A0263">
      <w:pPr>
        <w:rPr>
          <w:rFonts w:asciiTheme="majorHAnsi" w:hAnsiTheme="majorHAnsi"/>
          <w:i/>
          <w:sz w:val="22"/>
          <w:szCs w:val="22"/>
        </w:rPr>
      </w:pPr>
      <w:bookmarkStart w:id="0" w:name="_GoBack"/>
      <w:bookmarkEnd w:id="0"/>
    </w:p>
    <w:p w14:paraId="0BF2255A" w14:textId="77777777" w:rsidR="00630F73" w:rsidRDefault="00630F73" w:rsidP="000A0263"/>
    <w:p w14:paraId="1E8C4C05" w14:textId="6637F656" w:rsidR="000A0263" w:rsidRPr="006727BF" w:rsidRDefault="00ED5115" w:rsidP="000A0263">
      <w:pPr>
        <w:rPr>
          <w:rFonts w:ascii="Century Gothic" w:hAnsi="Century Gothic"/>
          <w:color w:val="365F91"/>
          <w:sz w:val="48"/>
          <w:szCs w:val="48"/>
        </w:rPr>
      </w:pPr>
      <w:r w:rsidRPr="006727BF">
        <w:rPr>
          <w:rFonts w:ascii="Century Gothic" w:hAnsi="Century Gothic"/>
          <w:color w:val="365F91"/>
          <w:sz w:val="48"/>
          <w:szCs w:val="48"/>
        </w:rPr>
        <w:t xml:space="preserve">Conflict and Complaint </w:t>
      </w:r>
    </w:p>
    <w:p w14:paraId="074D1717" w14:textId="4A9A631D" w:rsidR="00ED5115" w:rsidRPr="00060511" w:rsidRDefault="00ED5115" w:rsidP="000A0263">
      <w:pPr>
        <w:rPr>
          <w:rFonts w:ascii="Century Gothic" w:hAnsi="Century Gothic"/>
          <w:b/>
          <w:sz w:val="36"/>
          <w:szCs w:val="36"/>
        </w:rPr>
      </w:pPr>
      <w:r w:rsidRPr="006727BF">
        <w:rPr>
          <w:rFonts w:ascii="Century Gothic" w:hAnsi="Century Gothic"/>
          <w:color w:val="365F91"/>
          <w:sz w:val="48"/>
          <w:szCs w:val="48"/>
        </w:rPr>
        <w:t>Resolution</w:t>
      </w:r>
      <w:r w:rsidR="002E3CAB" w:rsidRPr="006727BF">
        <w:rPr>
          <w:rFonts w:ascii="Century Gothic" w:hAnsi="Century Gothic"/>
          <w:color w:val="365F91"/>
          <w:sz w:val="48"/>
          <w:szCs w:val="48"/>
        </w:rPr>
        <w:t xml:space="preserve"> Policy</w:t>
      </w:r>
    </w:p>
    <w:p w14:paraId="337B7478" w14:textId="77777777" w:rsidR="000A0263" w:rsidRDefault="000A0263" w:rsidP="00ED5115">
      <w:pPr>
        <w:rPr>
          <w:spacing w:val="-4"/>
        </w:rPr>
      </w:pPr>
    </w:p>
    <w:p w14:paraId="222FF264" w14:textId="77777777" w:rsidR="00ED5115" w:rsidRPr="0054568C" w:rsidRDefault="002E3CAB" w:rsidP="00ED5115">
      <w:pPr>
        <w:rPr>
          <w:rFonts w:asciiTheme="minorHAnsi" w:hAnsiTheme="minorHAnsi"/>
          <w:spacing w:val="-4"/>
          <w:sz w:val="22"/>
          <w:szCs w:val="22"/>
        </w:rPr>
      </w:pPr>
      <w:r w:rsidRPr="0054568C">
        <w:rPr>
          <w:rFonts w:asciiTheme="minorHAnsi" w:hAnsiTheme="minorHAnsi"/>
          <w:spacing w:val="-4"/>
          <w:sz w:val="22"/>
          <w:szCs w:val="22"/>
        </w:rPr>
        <w:t>The A</w:t>
      </w:r>
      <w:r w:rsidR="00ED5115" w:rsidRPr="0054568C">
        <w:rPr>
          <w:rFonts w:asciiTheme="minorHAnsi" w:hAnsiTheme="minorHAnsi"/>
          <w:spacing w:val="-4"/>
          <w:sz w:val="22"/>
          <w:szCs w:val="22"/>
        </w:rPr>
        <w:t xml:space="preserve">ssociation is committed to creating and maintaining </w:t>
      </w:r>
      <w:r w:rsidR="009F5352" w:rsidRPr="0054568C">
        <w:rPr>
          <w:rFonts w:asciiTheme="minorHAnsi" w:hAnsiTheme="minorHAnsi"/>
          <w:spacing w:val="-4"/>
          <w:sz w:val="22"/>
          <w:szCs w:val="22"/>
        </w:rPr>
        <w:t>a</w:t>
      </w:r>
      <w:r w:rsidR="00913511" w:rsidRPr="0054568C">
        <w:rPr>
          <w:rFonts w:asciiTheme="minorHAnsi" w:hAnsiTheme="minorHAnsi"/>
          <w:spacing w:val="-4"/>
          <w:sz w:val="22"/>
          <w:szCs w:val="22"/>
        </w:rPr>
        <w:t xml:space="preserve"> work </w:t>
      </w:r>
      <w:r w:rsidR="00ED5115" w:rsidRPr="0054568C">
        <w:rPr>
          <w:rFonts w:asciiTheme="minorHAnsi" w:hAnsiTheme="minorHAnsi"/>
          <w:spacing w:val="-4"/>
          <w:sz w:val="22"/>
          <w:szCs w:val="22"/>
        </w:rPr>
        <w:t xml:space="preserve">environment characterized by constructive, productive and supportive </w:t>
      </w:r>
      <w:r w:rsidRPr="0054568C">
        <w:rPr>
          <w:rFonts w:asciiTheme="minorHAnsi" w:hAnsiTheme="minorHAnsi"/>
          <w:spacing w:val="-4"/>
          <w:sz w:val="22"/>
          <w:szCs w:val="22"/>
        </w:rPr>
        <w:t>relationships. Such relationships are often subject</w:t>
      </w:r>
      <w:r w:rsidR="00ED5115" w:rsidRPr="0054568C">
        <w:rPr>
          <w:rFonts w:asciiTheme="minorHAnsi" w:hAnsiTheme="minorHAnsi"/>
          <w:spacing w:val="-4"/>
          <w:sz w:val="22"/>
          <w:szCs w:val="22"/>
        </w:rPr>
        <w:t xml:space="preserve"> to contrasting styles of understanding and acting</w:t>
      </w:r>
      <w:r w:rsidRPr="0054568C">
        <w:rPr>
          <w:rFonts w:asciiTheme="minorHAnsi" w:hAnsiTheme="minorHAnsi"/>
          <w:spacing w:val="-4"/>
          <w:sz w:val="22"/>
          <w:szCs w:val="22"/>
        </w:rPr>
        <w:t xml:space="preserve">, </w:t>
      </w:r>
      <w:r w:rsidR="00ED5115" w:rsidRPr="0054568C">
        <w:rPr>
          <w:rFonts w:asciiTheme="minorHAnsi" w:hAnsiTheme="minorHAnsi"/>
          <w:spacing w:val="-4"/>
          <w:sz w:val="22"/>
          <w:szCs w:val="22"/>
        </w:rPr>
        <w:t xml:space="preserve">and </w:t>
      </w:r>
      <w:r w:rsidRPr="0054568C">
        <w:rPr>
          <w:rFonts w:asciiTheme="minorHAnsi" w:hAnsiTheme="minorHAnsi"/>
          <w:spacing w:val="-4"/>
          <w:sz w:val="22"/>
          <w:szCs w:val="22"/>
        </w:rPr>
        <w:t xml:space="preserve">to </w:t>
      </w:r>
      <w:r w:rsidR="00ED5115" w:rsidRPr="0054568C">
        <w:rPr>
          <w:rFonts w:asciiTheme="minorHAnsi" w:hAnsiTheme="minorHAnsi"/>
          <w:spacing w:val="-4"/>
          <w:sz w:val="22"/>
          <w:szCs w:val="22"/>
        </w:rPr>
        <w:t xml:space="preserve">different </w:t>
      </w:r>
      <w:r w:rsidRPr="0054568C">
        <w:rPr>
          <w:rFonts w:asciiTheme="minorHAnsi" w:hAnsiTheme="minorHAnsi"/>
          <w:spacing w:val="-4"/>
          <w:sz w:val="22"/>
          <w:szCs w:val="22"/>
        </w:rPr>
        <w:t xml:space="preserve">points of view. It is essential that we all </w:t>
      </w:r>
      <w:r w:rsidR="00ED5115" w:rsidRPr="0054568C">
        <w:rPr>
          <w:rFonts w:asciiTheme="minorHAnsi" w:hAnsiTheme="minorHAnsi"/>
          <w:spacing w:val="-4"/>
          <w:sz w:val="22"/>
          <w:szCs w:val="22"/>
        </w:rPr>
        <w:t xml:space="preserve">recognize that human interactions are complex, often difficult, and that we all can contribute to their success. </w:t>
      </w:r>
    </w:p>
    <w:p w14:paraId="2472B528" w14:textId="77777777" w:rsidR="00ED5115" w:rsidRPr="0054568C" w:rsidRDefault="00ED5115" w:rsidP="00ED5115">
      <w:pPr>
        <w:rPr>
          <w:rFonts w:asciiTheme="minorHAnsi" w:hAnsiTheme="minorHAnsi"/>
          <w:spacing w:val="-4"/>
          <w:sz w:val="22"/>
          <w:szCs w:val="22"/>
        </w:rPr>
      </w:pPr>
    </w:p>
    <w:p w14:paraId="5F9C764D" w14:textId="77777777" w:rsidR="00ED5115" w:rsidRPr="0054568C" w:rsidRDefault="00ED5115" w:rsidP="00ED5115">
      <w:pPr>
        <w:rPr>
          <w:rFonts w:asciiTheme="minorHAnsi" w:hAnsiTheme="minorHAnsi"/>
          <w:spacing w:val="-4"/>
          <w:sz w:val="22"/>
          <w:szCs w:val="22"/>
        </w:rPr>
      </w:pPr>
      <w:r w:rsidRPr="0054568C">
        <w:rPr>
          <w:rFonts w:asciiTheme="minorHAnsi" w:hAnsiTheme="minorHAnsi"/>
          <w:spacing w:val="-4"/>
          <w:sz w:val="22"/>
          <w:szCs w:val="22"/>
        </w:rPr>
        <w:t xml:space="preserve">All persons involved with the Association have an obligation to communicate openly and respectfully with one another and to provide reasons for particular decisions or actions. When disagreements arise, greater understanding by all is needed. The presence of conflict, if dealt with effectively, offers an opportunity for individual and organizational learning including the identification of policies and practices that need to be improved.  </w:t>
      </w:r>
    </w:p>
    <w:p w14:paraId="10735FB6" w14:textId="77777777" w:rsidR="00ED5115" w:rsidRPr="0054568C" w:rsidRDefault="00ED5115" w:rsidP="00ED5115">
      <w:pPr>
        <w:rPr>
          <w:rFonts w:asciiTheme="minorHAnsi" w:hAnsiTheme="minorHAnsi"/>
          <w:spacing w:val="-4"/>
          <w:sz w:val="22"/>
          <w:szCs w:val="22"/>
        </w:rPr>
      </w:pPr>
    </w:p>
    <w:p w14:paraId="352B86A2" w14:textId="77777777" w:rsidR="00913511" w:rsidRPr="00630F73" w:rsidRDefault="00933140" w:rsidP="00ED5115">
      <w:pPr>
        <w:rPr>
          <w:rFonts w:asciiTheme="minorHAnsi" w:hAnsiTheme="minorHAnsi"/>
          <w:spacing w:val="-4"/>
          <w:sz w:val="22"/>
          <w:szCs w:val="22"/>
        </w:rPr>
      </w:pPr>
      <w:r w:rsidRPr="00630F73">
        <w:rPr>
          <w:rFonts w:asciiTheme="minorHAnsi" w:hAnsiTheme="minorHAnsi"/>
          <w:spacing w:val="-4"/>
          <w:sz w:val="22"/>
          <w:szCs w:val="22"/>
        </w:rPr>
        <w:t xml:space="preserve">The executive director </w:t>
      </w:r>
      <w:r w:rsidR="002E3CAB" w:rsidRPr="00630F73">
        <w:rPr>
          <w:rFonts w:asciiTheme="minorHAnsi" w:hAnsiTheme="minorHAnsi"/>
          <w:spacing w:val="-4"/>
          <w:sz w:val="22"/>
          <w:szCs w:val="22"/>
        </w:rPr>
        <w:t xml:space="preserve">is ultimately responsible for ensuring that conflicts involving staff and volunteers are resolved in a satisfactory manner. He/she </w:t>
      </w:r>
      <w:r w:rsidRPr="00630F73">
        <w:rPr>
          <w:rFonts w:asciiTheme="minorHAnsi" w:hAnsiTheme="minorHAnsi"/>
          <w:spacing w:val="-4"/>
          <w:sz w:val="22"/>
          <w:szCs w:val="22"/>
        </w:rPr>
        <w:t xml:space="preserve">has a duty to inform the board of any conflicts that impinge on the organization’s ability to function or may damage its reputation. </w:t>
      </w:r>
    </w:p>
    <w:p w14:paraId="61D8D38F" w14:textId="77777777" w:rsidR="00913511" w:rsidRPr="0054568C" w:rsidRDefault="00913511" w:rsidP="00ED5115">
      <w:pPr>
        <w:rPr>
          <w:rFonts w:asciiTheme="minorHAnsi" w:hAnsiTheme="minorHAnsi"/>
          <w:spacing w:val="-4"/>
          <w:sz w:val="22"/>
          <w:szCs w:val="22"/>
        </w:rPr>
      </w:pPr>
    </w:p>
    <w:p w14:paraId="56390591" w14:textId="77777777" w:rsidR="00ED5115" w:rsidRPr="0054568C" w:rsidRDefault="00913511" w:rsidP="00ED5115">
      <w:pPr>
        <w:rPr>
          <w:rFonts w:asciiTheme="minorHAnsi" w:hAnsiTheme="minorHAnsi"/>
          <w:spacing w:val="-4"/>
          <w:sz w:val="22"/>
          <w:szCs w:val="22"/>
        </w:rPr>
      </w:pPr>
      <w:r w:rsidRPr="0054568C">
        <w:rPr>
          <w:rFonts w:asciiTheme="minorHAnsi" w:hAnsiTheme="minorHAnsi"/>
          <w:spacing w:val="-4"/>
          <w:sz w:val="22"/>
          <w:szCs w:val="22"/>
        </w:rPr>
        <w:t>Conflicts</w:t>
      </w:r>
      <w:r w:rsidR="00ED5115" w:rsidRPr="0054568C">
        <w:rPr>
          <w:rFonts w:asciiTheme="minorHAnsi" w:hAnsiTheme="minorHAnsi"/>
          <w:spacing w:val="-4"/>
          <w:sz w:val="22"/>
          <w:szCs w:val="22"/>
        </w:rPr>
        <w:t xml:space="preserve"> should be addressed at the earliest possible opportunity as unresolved conflict can lead to a stressful, and in the worst cases, a poisoned work environment. </w:t>
      </w:r>
    </w:p>
    <w:p w14:paraId="649765BD" w14:textId="77777777" w:rsidR="00ED5115" w:rsidRPr="0054568C" w:rsidRDefault="00ED5115">
      <w:pPr>
        <w:rPr>
          <w:rFonts w:asciiTheme="minorHAnsi" w:hAnsiTheme="minorHAnsi"/>
          <w:spacing w:val="-4"/>
          <w:sz w:val="22"/>
          <w:szCs w:val="22"/>
        </w:rPr>
      </w:pPr>
    </w:p>
    <w:p w14:paraId="1F26EA3D" w14:textId="77777777" w:rsidR="00ED5115" w:rsidRPr="0054568C" w:rsidRDefault="00ED5115">
      <w:pPr>
        <w:rPr>
          <w:rFonts w:asciiTheme="minorHAnsi" w:hAnsiTheme="minorHAnsi"/>
          <w:spacing w:val="-4"/>
          <w:sz w:val="22"/>
          <w:szCs w:val="22"/>
        </w:rPr>
      </w:pPr>
      <w:r w:rsidRPr="0054568C">
        <w:rPr>
          <w:rFonts w:asciiTheme="minorHAnsi" w:hAnsiTheme="minorHAnsi"/>
          <w:spacing w:val="-4"/>
          <w:sz w:val="22"/>
          <w:szCs w:val="22"/>
        </w:rPr>
        <w:t xml:space="preserve">In the event that any person </w:t>
      </w:r>
      <w:r w:rsidR="002E3CAB" w:rsidRPr="0054568C">
        <w:rPr>
          <w:rFonts w:asciiTheme="minorHAnsi" w:hAnsiTheme="minorHAnsi"/>
          <w:spacing w:val="-4"/>
          <w:sz w:val="22"/>
          <w:szCs w:val="22"/>
        </w:rPr>
        <w:t>or group is experiencing a work</w:t>
      </w:r>
      <w:r w:rsidRPr="0054568C">
        <w:rPr>
          <w:rFonts w:asciiTheme="minorHAnsi" w:hAnsiTheme="minorHAnsi"/>
          <w:spacing w:val="-4"/>
          <w:sz w:val="22"/>
          <w:szCs w:val="22"/>
        </w:rPr>
        <w:t>–related conflict or has a complaint about the actions of another person, the following guidelines will apply.</w:t>
      </w:r>
    </w:p>
    <w:p w14:paraId="32F4F330" w14:textId="77777777" w:rsidR="00ED5115" w:rsidRPr="0054568C" w:rsidRDefault="00ED5115">
      <w:pPr>
        <w:rPr>
          <w:rFonts w:asciiTheme="minorHAnsi" w:hAnsiTheme="minorHAnsi"/>
          <w:spacing w:val="-4"/>
          <w:sz w:val="22"/>
          <w:szCs w:val="22"/>
        </w:rPr>
      </w:pPr>
    </w:p>
    <w:p w14:paraId="7A2247C9" w14:textId="77777777" w:rsidR="00ED5115" w:rsidRPr="0054568C" w:rsidRDefault="00ED5115" w:rsidP="00ED5115">
      <w:pPr>
        <w:numPr>
          <w:ilvl w:val="0"/>
          <w:numId w:val="3"/>
        </w:numPr>
        <w:rPr>
          <w:rFonts w:asciiTheme="minorHAnsi" w:hAnsiTheme="minorHAnsi"/>
          <w:spacing w:val="-4"/>
          <w:sz w:val="22"/>
          <w:szCs w:val="22"/>
        </w:rPr>
      </w:pPr>
      <w:r w:rsidRPr="0054568C">
        <w:rPr>
          <w:rFonts w:asciiTheme="minorHAnsi" w:hAnsiTheme="minorHAnsi"/>
          <w:spacing w:val="-4"/>
          <w:sz w:val="22"/>
          <w:szCs w:val="22"/>
        </w:rPr>
        <w:t xml:space="preserve">Communicate directly with the person or persons whose actions </w:t>
      </w:r>
      <w:r w:rsidR="005F57B2" w:rsidRPr="0054568C">
        <w:rPr>
          <w:rFonts w:asciiTheme="minorHAnsi" w:hAnsiTheme="minorHAnsi"/>
          <w:spacing w:val="-4"/>
          <w:sz w:val="22"/>
          <w:szCs w:val="22"/>
        </w:rPr>
        <w:t>is the cause</w:t>
      </w:r>
      <w:r w:rsidRPr="0054568C">
        <w:rPr>
          <w:rFonts w:asciiTheme="minorHAnsi" w:hAnsiTheme="minorHAnsi"/>
          <w:spacing w:val="-4"/>
          <w:sz w:val="22"/>
          <w:szCs w:val="22"/>
        </w:rPr>
        <w:t xml:space="preserve"> of the complaint. People should reasonably expect to know if their behaviour or their decision is a problem for another person or group. </w:t>
      </w:r>
    </w:p>
    <w:p w14:paraId="1028D193" w14:textId="77777777" w:rsidR="00ED5115" w:rsidRPr="0054568C" w:rsidRDefault="00ED5115" w:rsidP="00ED5115">
      <w:pPr>
        <w:ind w:left="240"/>
        <w:rPr>
          <w:rFonts w:asciiTheme="minorHAnsi" w:hAnsiTheme="minorHAnsi"/>
          <w:spacing w:val="-4"/>
          <w:sz w:val="22"/>
          <w:szCs w:val="22"/>
        </w:rPr>
      </w:pPr>
    </w:p>
    <w:p w14:paraId="08FCA915" w14:textId="77777777" w:rsidR="00913511" w:rsidRPr="0054568C" w:rsidRDefault="00ED5115" w:rsidP="00ED5115">
      <w:pPr>
        <w:numPr>
          <w:ilvl w:val="0"/>
          <w:numId w:val="3"/>
        </w:numPr>
        <w:rPr>
          <w:rFonts w:asciiTheme="minorHAnsi" w:hAnsiTheme="minorHAnsi"/>
          <w:spacing w:val="-4"/>
          <w:sz w:val="22"/>
          <w:szCs w:val="22"/>
        </w:rPr>
      </w:pPr>
      <w:r w:rsidRPr="0054568C">
        <w:rPr>
          <w:rFonts w:asciiTheme="minorHAnsi" w:hAnsiTheme="minorHAnsi"/>
          <w:spacing w:val="-4"/>
          <w:sz w:val="22"/>
          <w:szCs w:val="22"/>
        </w:rPr>
        <w:t xml:space="preserve">If the circumstances are such that the person with a complaint is unable or unwilling to communicate directly with the persons or persons whose actions are the cause of their complaint, either for fear of it going badly, or of reprisal, the help of </w:t>
      </w:r>
      <w:r w:rsidR="00913511" w:rsidRPr="0054568C">
        <w:rPr>
          <w:rFonts w:asciiTheme="minorHAnsi" w:hAnsiTheme="minorHAnsi"/>
          <w:spacing w:val="-4"/>
          <w:sz w:val="22"/>
          <w:szCs w:val="22"/>
        </w:rPr>
        <w:t>one other trusted person in the organization</w:t>
      </w:r>
      <w:r w:rsidRPr="0054568C">
        <w:rPr>
          <w:rFonts w:asciiTheme="minorHAnsi" w:hAnsiTheme="minorHAnsi"/>
          <w:spacing w:val="-4"/>
          <w:sz w:val="22"/>
          <w:szCs w:val="22"/>
        </w:rPr>
        <w:t xml:space="preserve"> should be sought. </w:t>
      </w:r>
    </w:p>
    <w:p w14:paraId="5FEF3257" w14:textId="77777777" w:rsidR="00913511" w:rsidRPr="0054568C" w:rsidRDefault="00913511" w:rsidP="00913511">
      <w:pPr>
        <w:rPr>
          <w:rFonts w:asciiTheme="minorHAnsi" w:hAnsiTheme="minorHAnsi"/>
          <w:spacing w:val="-4"/>
          <w:sz w:val="22"/>
          <w:szCs w:val="22"/>
        </w:rPr>
      </w:pPr>
    </w:p>
    <w:p w14:paraId="766B17C8" w14:textId="77777777" w:rsidR="00ED5115" w:rsidRPr="0054568C" w:rsidRDefault="00ED5115" w:rsidP="00ED5115">
      <w:pPr>
        <w:numPr>
          <w:ilvl w:val="0"/>
          <w:numId w:val="3"/>
        </w:numPr>
        <w:rPr>
          <w:rFonts w:asciiTheme="minorHAnsi" w:hAnsiTheme="minorHAnsi"/>
          <w:spacing w:val="-4"/>
          <w:sz w:val="22"/>
          <w:szCs w:val="22"/>
        </w:rPr>
      </w:pPr>
      <w:r w:rsidRPr="0054568C">
        <w:rPr>
          <w:rFonts w:asciiTheme="minorHAnsi" w:hAnsiTheme="minorHAnsi"/>
          <w:spacing w:val="-4"/>
          <w:sz w:val="22"/>
          <w:szCs w:val="22"/>
        </w:rPr>
        <w:t>The executive director will resolve complaints and conflicts that cannot be resolved by those directly involved or their supervisor.</w:t>
      </w:r>
    </w:p>
    <w:p w14:paraId="057C4E3E" w14:textId="77777777" w:rsidR="00ED5115" w:rsidRPr="0054568C" w:rsidRDefault="00ED5115" w:rsidP="00ED5115">
      <w:pPr>
        <w:ind w:left="240"/>
        <w:rPr>
          <w:rFonts w:asciiTheme="minorHAnsi" w:hAnsiTheme="minorHAnsi"/>
          <w:spacing w:val="-4"/>
          <w:sz w:val="22"/>
          <w:szCs w:val="22"/>
        </w:rPr>
      </w:pPr>
    </w:p>
    <w:p w14:paraId="7CDECACE" w14:textId="26E9C6DC" w:rsidR="00933140" w:rsidRDefault="00185F1C" w:rsidP="00933140">
      <w:pPr>
        <w:numPr>
          <w:ilvl w:val="0"/>
          <w:numId w:val="3"/>
        </w:numPr>
        <w:rPr>
          <w:rFonts w:asciiTheme="minorHAnsi" w:hAnsiTheme="minorHAnsi"/>
          <w:spacing w:val="-4"/>
          <w:sz w:val="22"/>
          <w:szCs w:val="22"/>
        </w:rPr>
      </w:pPr>
      <w:r w:rsidRPr="00630F73">
        <w:rPr>
          <w:rFonts w:asciiTheme="minorHAnsi" w:hAnsiTheme="minorHAnsi"/>
          <w:spacing w:val="-4"/>
          <w:sz w:val="22"/>
          <w:szCs w:val="22"/>
        </w:rPr>
        <w:lastRenderedPageBreak/>
        <w:t>In circumstances where it is the action of the executive director that is</w:t>
      </w:r>
      <w:r w:rsidR="00ED5115" w:rsidRPr="00630F73">
        <w:rPr>
          <w:rFonts w:asciiTheme="minorHAnsi" w:hAnsiTheme="minorHAnsi"/>
          <w:spacing w:val="-4"/>
          <w:sz w:val="22"/>
          <w:szCs w:val="22"/>
        </w:rPr>
        <w:t xml:space="preserve"> </w:t>
      </w:r>
      <w:r w:rsidR="000A0263" w:rsidRPr="00630F73">
        <w:rPr>
          <w:rFonts w:asciiTheme="minorHAnsi" w:hAnsiTheme="minorHAnsi"/>
          <w:spacing w:val="-4"/>
          <w:sz w:val="22"/>
          <w:szCs w:val="22"/>
        </w:rPr>
        <w:t>reason for</w:t>
      </w:r>
      <w:r w:rsidRPr="00630F73">
        <w:rPr>
          <w:rFonts w:asciiTheme="minorHAnsi" w:hAnsiTheme="minorHAnsi"/>
          <w:spacing w:val="-4"/>
          <w:sz w:val="22"/>
          <w:szCs w:val="22"/>
        </w:rPr>
        <w:t xml:space="preserve"> the conflict, the </w:t>
      </w:r>
      <w:r w:rsidR="005F57B2" w:rsidRPr="00630F73">
        <w:rPr>
          <w:rFonts w:asciiTheme="minorHAnsi" w:hAnsiTheme="minorHAnsi"/>
          <w:spacing w:val="-4"/>
          <w:sz w:val="22"/>
          <w:szCs w:val="22"/>
        </w:rPr>
        <w:t>Board may address the complaint</w:t>
      </w:r>
      <w:r w:rsidR="00906480" w:rsidRPr="00630F73">
        <w:rPr>
          <w:rFonts w:asciiTheme="minorHAnsi" w:hAnsiTheme="minorHAnsi"/>
          <w:spacing w:val="-4"/>
          <w:sz w:val="22"/>
          <w:szCs w:val="22"/>
        </w:rPr>
        <w:t xml:space="preserve"> as indicated below</w:t>
      </w:r>
      <w:r w:rsidR="00630F73">
        <w:rPr>
          <w:rFonts w:asciiTheme="minorHAnsi" w:hAnsiTheme="minorHAnsi"/>
          <w:spacing w:val="-4"/>
          <w:sz w:val="22"/>
          <w:szCs w:val="22"/>
        </w:rPr>
        <w:t>.</w:t>
      </w:r>
    </w:p>
    <w:p w14:paraId="361035B9" w14:textId="77777777" w:rsidR="00630F73" w:rsidRPr="00630F73" w:rsidRDefault="00630F73" w:rsidP="00630F73">
      <w:pPr>
        <w:rPr>
          <w:rFonts w:asciiTheme="minorHAnsi" w:hAnsiTheme="minorHAnsi"/>
          <w:spacing w:val="-4"/>
          <w:sz w:val="22"/>
          <w:szCs w:val="22"/>
        </w:rPr>
      </w:pPr>
    </w:p>
    <w:p w14:paraId="0A173FB1" w14:textId="77777777" w:rsidR="00ED5115" w:rsidRDefault="00ED5115" w:rsidP="00ED5115">
      <w:pPr>
        <w:numPr>
          <w:ilvl w:val="0"/>
          <w:numId w:val="3"/>
        </w:numPr>
        <w:rPr>
          <w:rFonts w:asciiTheme="minorHAnsi" w:hAnsiTheme="minorHAnsi"/>
          <w:spacing w:val="-4"/>
          <w:sz w:val="22"/>
          <w:szCs w:val="22"/>
        </w:rPr>
      </w:pPr>
      <w:r w:rsidRPr="0054568C">
        <w:rPr>
          <w:rFonts w:asciiTheme="minorHAnsi" w:hAnsiTheme="minorHAnsi"/>
          <w:spacing w:val="-4"/>
          <w:sz w:val="22"/>
          <w:szCs w:val="22"/>
        </w:rPr>
        <w:t>Communication of the complaint or conflict shall first be made verbally to the respondent or supervisor. If this does not lead to a resolution that is satisfactory to the complainant, the nature of the complaint should then be communicated in writing. If this fails to result in a resolution the written complaint should be sent to the executive director.</w:t>
      </w:r>
    </w:p>
    <w:p w14:paraId="79740D29" w14:textId="1DAF6752" w:rsidR="007D0F81" w:rsidRPr="0054568C" w:rsidRDefault="007D0F81" w:rsidP="00ED5115">
      <w:pPr>
        <w:tabs>
          <w:tab w:val="left" w:pos="5160"/>
        </w:tabs>
        <w:ind w:left="-120"/>
        <w:rPr>
          <w:rFonts w:asciiTheme="minorHAnsi" w:hAnsiTheme="minorHAnsi"/>
          <w:spacing w:val="-4"/>
          <w:sz w:val="22"/>
          <w:szCs w:val="22"/>
        </w:rPr>
      </w:pPr>
    </w:p>
    <w:p w14:paraId="64A06D90" w14:textId="77777777" w:rsidR="00ED5115" w:rsidRPr="0054568C" w:rsidRDefault="00ED5115" w:rsidP="00ED5115">
      <w:pPr>
        <w:numPr>
          <w:ilvl w:val="0"/>
          <w:numId w:val="3"/>
        </w:numPr>
        <w:rPr>
          <w:rFonts w:asciiTheme="minorHAnsi" w:hAnsiTheme="minorHAnsi"/>
          <w:spacing w:val="-4"/>
          <w:sz w:val="22"/>
          <w:szCs w:val="22"/>
        </w:rPr>
      </w:pPr>
      <w:r w:rsidRPr="0054568C">
        <w:rPr>
          <w:rFonts w:asciiTheme="minorHAnsi" w:hAnsiTheme="minorHAnsi"/>
          <w:spacing w:val="-4"/>
          <w:sz w:val="22"/>
          <w:szCs w:val="22"/>
        </w:rPr>
        <w:t xml:space="preserve">Third parties, acceptable to all those involved, may be of assistance </w:t>
      </w:r>
      <w:r w:rsidR="002E3CAB" w:rsidRPr="0054568C">
        <w:rPr>
          <w:rFonts w:asciiTheme="minorHAnsi" w:hAnsiTheme="minorHAnsi"/>
          <w:spacing w:val="-4"/>
          <w:sz w:val="22"/>
          <w:szCs w:val="22"/>
        </w:rPr>
        <w:t>i</w:t>
      </w:r>
      <w:r w:rsidRPr="0054568C">
        <w:rPr>
          <w:rFonts w:asciiTheme="minorHAnsi" w:hAnsiTheme="minorHAnsi"/>
          <w:spacing w:val="-4"/>
          <w:sz w:val="22"/>
          <w:szCs w:val="22"/>
        </w:rPr>
        <w:t>n helping resolve the conflict in a (1) facilitation or mediation role where the goal is to help the parties restore a positive working relationship in the future, or (2) a decision-making /arbitration role where they investigate what happened and make a determination of who is responsible for the situation and what the consequences for the parties should be. The choice of these two approaches should be offered to the parties. If a mediated approach fails to resolve the matter, an arbitrated approach can be undertaken.</w:t>
      </w:r>
    </w:p>
    <w:p w14:paraId="79981708" w14:textId="77777777" w:rsidR="00ED5115" w:rsidRPr="0054568C" w:rsidRDefault="00ED5115" w:rsidP="00ED5115">
      <w:pPr>
        <w:rPr>
          <w:rFonts w:asciiTheme="minorHAnsi" w:hAnsiTheme="minorHAnsi"/>
          <w:spacing w:val="-4"/>
          <w:sz w:val="22"/>
          <w:szCs w:val="22"/>
        </w:rPr>
      </w:pPr>
    </w:p>
    <w:p w14:paraId="5AB8996C" w14:textId="77777777" w:rsidR="00ED5115" w:rsidRPr="0054568C" w:rsidRDefault="00ED5115" w:rsidP="00ED5115">
      <w:pPr>
        <w:numPr>
          <w:ilvl w:val="0"/>
          <w:numId w:val="3"/>
        </w:numPr>
        <w:rPr>
          <w:rFonts w:asciiTheme="minorHAnsi" w:hAnsiTheme="minorHAnsi"/>
          <w:spacing w:val="-4"/>
          <w:sz w:val="22"/>
          <w:szCs w:val="22"/>
        </w:rPr>
      </w:pPr>
      <w:r w:rsidRPr="0054568C">
        <w:rPr>
          <w:rFonts w:asciiTheme="minorHAnsi" w:hAnsiTheme="minorHAnsi"/>
          <w:spacing w:val="-4"/>
          <w:sz w:val="22"/>
          <w:szCs w:val="22"/>
        </w:rPr>
        <w:t xml:space="preserve">The parties will refrain from drawing others not directly involved into the process as a way of garnering support or gaining attention. Such actions include “copying” the written complaint by e-mail to others. </w:t>
      </w:r>
    </w:p>
    <w:p w14:paraId="76E2A676" w14:textId="77777777" w:rsidR="00ED5115" w:rsidRPr="0054568C" w:rsidRDefault="00ED5115" w:rsidP="00ED5115">
      <w:pPr>
        <w:ind w:left="240"/>
        <w:rPr>
          <w:rFonts w:asciiTheme="minorHAnsi" w:hAnsiTheme="minorHAnsi"/>
          <w:spacing w:val="-4"/>
          <w:sz w:val="22"/>
          <w:szCs w:val="22"/>
        </w:rPr>
      </w:pPr>
    </w:p>
    <w:p w14:paraId="0A7204B3" w14:textId="7E9CEC39" w:rsidR="00ED5115" w:rsidRPr="00630F73" w:rsidRDefault="00ED5115" w:rsidP="00ED5115">
      <w:pPr>
        <w:numPr>
          <w:ilvl w:val="0"/>
          <w:numId w:val="3"/>
        </w:numPr>
        <w:rPr>
          <w:rFonts w:asciiTheme="minorHAnsi" w:hAnsiTheme="minorHAnsi"/>
          <w:spacing w:val="-4"/>
          <w:sz w:val="22"/>
          <w:szCs w:val="22"/>
        </w:rPr>
      </w:pPr>
      <w:r w:rsidRPr="00630F73">
        <w:rPr>
          <w:rFonts w:asciiTheme="minorHAnsi" w:hAnsiTheme="minorHAnsi"/>
          <w:spacing w:val="-4"/>
          <w:sz w:val="22"/>
          <w:szCs w:val="22"/>
        </w:rPr>
        <w:t>Complaints and conflicts shall be dealt with in a confidential manner. Meetings to resolve a complaint shall be open only to the parties and those attempting to resolve the complaint. The parties may have an advocate or supporter present. Meetings may be with the different parties individually, together or both. In the interest of openness, no minutes or written record of what is said in these meetings shall be recorded although, if the parties agree, the outcome of the meetings or a resulting agreement may be documented</w:t>
      </w:r>
      <w:r w:rsidR="00630F73">
        <w:rPr>
          <w:rFonts w:asciiTheme="minorHAnsi" w:hAnsiTheme="minorHAnsi"/>
          <w:spacing w:val="-4"/>
          <w:sz w:val="22"/>
          <w:szCs w:val="22"/>
        </w:rPr>
        <w:t>.</w:t>
      </w:r>
      <w:r w:rsidR="00630F73">
        <w:rPr>
          <w:rFonts w:asciiTheme="minorHAnsi" w:hAnsiTheme="minorHAnsi"/>
          <w:spacing w:val="-4"/>
          <w:sz w:val="22"/>
          <w:szCs w:val="22"/>
        </w:rPr>
        <w:br/>
      </w:r>
    </w:p>
    <w:p w14:paraId="532B007F" w14:textId="31679AC9" w:rsidR="00ED5115" w:rsidRPr="0054568C" w:rsidRDefault="00ED5115" w:rsidP="00ED5115">
      <w:pPr>
        <w:numPr>
          <w:ilvl w:val="0"/>
          <w:numId w:val="3"/>
        </w:numPr>
        <w:rPr>
          <w:rFonts w:asciiTheme="minorHAnsi" w:hAnsiTheme="minorHAnsi"/>
          <w:spacing w:val="-4"/>
          <w:sz w:val="22"/>
          <w:szCs w:val="22"/>
        </w:rPr>
      </w:pPr>
      <w:r w:rsidRPr="0054568C">
        <w:rPr>
          <w:rFonts w:asciiTheme="minorHAnsi" w:hAnsiTheme="minorHAnsi"/>
          <w:spacing w:val="-4"/>
          <w:sz w:val="22"/>
          <w:szCs w:val="22"/>
        </w:rPr>
        <w:t xml:space="preserve">Where the board is involved in a conflict resolution role, communication with it </w:t>
      </w:r>
      <w:r w:rsidR="00906480">
        <w:rPr>
          <w:rFonts w:asciiTheme="minorHAnsi" w:hAnsiTheme="minorHAnsi"/>
          <w:spacing w:val="-4"/>
          <w:sz w:val="22"/>
          <w:szCs w:val="22"/>
        </w:rPr>
        <w:t xml:space="preserve">by an aggrieved employee, volunteer or group </w:t>
      </w:r>
      <w:r w:rsidRPr="0054568C">
        <w:rPr>
          <w:rFonts w:asciiTheme="minorHAnsi" w:hAnsiTheme="minorHAnsi"/>
          <w:spacing w:val="-4"/>
          <w:sz w:val="22"/>
          <w:szCs w:val="22"/>
        </w:rPr>
        <w:t>should be directly with the Chair not with the whole board. It is the chair’s duty to inform the entire board of the existence</w:t>
      </w:r>
      <w:r w:rsidR="00913511" w:rsidRPr="0054568C">
        <w:rPr>
          <w:rFonts w:asciiTheme="minorHAnsi" w:hAnsiTheme="minorHAnsi"/>
          <w:spacing w:val="-4"/>
          <w:sz w:val="22"/>
          <w:szCs w:val="22"/>
        </w:rPr>
        <w:t xml:space="preserve"> of the conflict but the board may appoint one of their number, or an impartial party </w:t>
      </w:r>
      <w:r w:rsidRPr="0054568C">
        <w:rPr>
          <w:rFonts w:asciiTheme="minorHAnsi" w:hAnsiTheme="minorHAnsi"/>
          <w:spacing w:val="-4"/>
          <w:sz w:val="22"/>
          <w:szCs w:val="22"/>
        </w:rPr>
        <w:t>to help resolve the matter.</w:t>
      </w:r>
    </w:p>
    <w:p w14:paraId="33BEEE31" w14:textId="77777777" w:rsidR="00ED5115" w:rsidRPr="0054568C" w:rsidRDefault="00ED5115" w:rsidP="00ED5115">
      <w:pPr>
        <w:rPr>
          <w:rFonts w:asciiTheme="minorHAnsi" w:hAnsiTheme="minorHAnsi"/>
          <w:spacing w:val="-4"/>
          <w:sz w:val="22"/>
          <w:szCs w:val="22"/>
        </w:rPr>
      </w:pPr>
    </w:p>
    <w:p w14:paraId="3583C8EA" w14:textId="77777777" w:rsidR="00630F73" w:rsidRDefault="00ED5115" w:rsidP="00630F73">
      <w:pPr>
        <w:numPr>
          <w:ilvl w:val="0"/>
          <w:numId w:val="3"/>
        </w:numPr>
        <w:rPr>
          <w:rFonts w:asciiTheme="minorHAnsi" w:hAnsiTheme="minorHAnsi"/>
          <w:spacing w:val="-4"/>
          <w:sz w:val="22"/>
          <w:szCs w:val="22"/>
        </w:rPr>
      </w:pPr>
      <w:r w:rsidRPr="0054568C">
        <w:rPr>
          <w:rFonts w:asciiTheme="minorHAnsi" w:hAnsiTheme="minorHAnsi"/>
          <w:spacing w:val="-4"/>
          <w:sz w:val="22"/>
          <w:szCs w:val="22"/>
        </w:rPr>
        <w:t>The parties, and those helping to resolve the conflict, should avoid communicating the details of a complaint, making or responding to allegations or giving advice by e-mail. Face-to-face communication, as difficult as it is, should be relied upon. E-mail messages ca</w:t>
      </w:r>
      <w:r w:rsidR="002E3CAB" w:rsidRPr="0054568C">
        <w:rPr>
          <w:rFonts w:asciiTheme="minorHAnsi" w:hAnsiTheme="minorHAnsi"/>
          <w:spacing w:val="-4"/>
          <w:sz w:val="22"/>
          <w:szCs w:val="22"/>
        </w:rPr>
        <w:t xml:space="preserve">n be used for arranging </w:t>
      </w:r>
      <w:r w:rsidRPr="0054568C">
        <w:rPr>
          <w:rFonts w:asciiTheme="minorHAnsi" w:hAnsiTheme="minorHAnsi"/>
          <w:spacing w:val="-4"/>
          <w:sz w:val="22"/>
          <w:szCs w:val="22"/>
        </w:rPr>
        <w:t>meetings or communicating details of the resolution process.</w:t>
      </w:r>
    </w:p>
    <w:p w14:paraId="1DD09342" w14:textId="77777777" w:rsidR="00630F73" w:rsidRDefault="00630F73" w:rsidP="00630F73">
      <w:pPr>
        <w:rPr>
          <w:rFonts w:asciiTheme="minorHAnsi" w:hAnsiTheme="minorHAnsi"/>
          <w:spacing w:val="-4"/>
          <w:sz w:val="22"/>
          <w:szCs w:val="22"/>
        </w:rPr>
      </w:pPr>
    </w:p>
    <w:p w14:paraId="10BF82F3" w14:textId="1BBF87FC" w:rsidR="00ED5115" w:rsidRPr="00630F73" w:rsidRDefault="00ED5115" w:rsidP="00630F73">
      <w:pPr>
        <w:numPr>
          <w:ilvl w:val="0"/>
          <w:numId w:val="3"/>
        </w:numPr>
        <w:rPr>
          <w:rFonts w:asciiTheme="minorHAnsi" w:hAnsiTheme="minorHAnsi"/>
          <w:spacing w:val="-4"/>
          <w:sz w:val="22"/>
          <w:szCs w:val="22"/>
        </w:rPr>
      </w:pPr>
      <w:r w:rsidRPr="00630F73">
        <w:rPr>
          <w:rFonts w:asciiTheme="minorHAnsi" w:hAnsiTheme="minorHAnsi"/>
          <w:spacing w:val="-4"/>
          <w:sz w:val="22"/>
          <w:szCs w:val="22"/>
        </w:rPr>
        <w:t xml:space="preserve">Either the Executive Director or the Chair of the Board have an obligation to act </w:t>
      </w:r>
      <w:r w:rsidRPr="00630F73">
        <w:rPr>
          <w:rFonts w:asciiTheme="minorHAnsi" w:hAnsiTheme="minorHAnsi"/>
          <w:spacing w:val="-4"/>
          <w:sz w:val="22"/>
          <w:szCs w:val="22"/>
          <w:u w:val="single"/>
        </w:rPr>
        <w:t>immediately</w:t>
      </w:r>
      <w:r w:rsidRPr="00630F73">
        <w:rPr>
          <w:rFonts w:asciiTheme="minorHAnsi" w:hAnsiTheme="minorHAnsi"/>
          <w:spacing w:val="-4"/>
          <w:sz w:val="22"/>
          <w:szCs w:val="22"/>
        </w:rPr>
        <w:t xml:space="preserve"> in addressing a complaint if the physical and mental health and safety of any of the parties is perceived to be at risk. In doing so one of the parties may be granted a temporary leave of absence with pay until the issue has been satisfactorily resolved or </w:t>
      </w:r>
      <w:r w:rsidR="002E3CAB" w:rsidRPr="00630F73">
        <w:rPr>
          <w:rFonts w:asciiTheme="minorHAnsi" w:hAnsiTheme="minorHAnsi"/>
          <w:spacing w:val="-4"/>
          <w:sz w:val="22"/>
          <w:szCs w:val="22"/>
        </w:rPr>
        <w:t xml:space="preserve">for </w:t>
      </w:r>
      <w:r w:rsidRPr="00630F73">
        <w:rPr>
          <w:rFonts w:asciiTheme="minorHAnsi" w:hAnsiTheme="minorHAnsi"/>
          <w:spacing w:val="-4"/>
          <w:sz w:val="22"/>
          <w:szCs w:val="22"/>
        </w:rPr>
        <w:t>up to two weeks, which ever is shorter</w:t>
      </w:r>
    </w:p>
    <w:p w14:paraId="010182E3" w14:textId="77777777" w:rsidR="00630F73" w:rsidRPr="00630F73" w:rsidRDefault="00630F73" w:rsidP="00630F73">
      <w:pPr>
        <w:rPr>
          <w:rFonts w:asciiTheme="minorHAnsi" w:hAnsiTheme="minorHAnsi"/>
          <w:spacing w:val="-4"/>
          <w:sz w:val="22"/>
          <w:szCs w:val="22"/>
        </w:rPr>
      </w:pPr>
    </w:p>
    <w:p w14:paraId="1E0F5B34" w14:textId="77777777" w:rsidR="00ED5115" w:rsidRDefault="00ED5115" w:rsidP="00ED5115">
      <w:pPr>
        <w:numPr>
          <w:ilvl w:val="0"/>
          <w:numId w:val="3"/>
        </w:numPr>
        <w:rPr>
          <w:rFonts w:asciiTheme="minorHAnsi" w:hAnsiTheme="minorHAnsi"/>
          <w:spacing w:val="-4"/>
          <w:sz w:val="22"/>
          <w:szCs w:val="22"/>
        </w:rPr>
      </w:pPr>
      <w:r w:rsidRPr="0054568C">
        <w:rPr>
          <w:rFonts w:asciiTheme="minorHAnsi" w:hAnsiTheme="minorHAnsi"/>
          <w:spacing w:val="-4"/>
          <w:sz w:val="22"/>
          <w:szCs w:val="22"/>
        </w:rPr>
        <w:t>If threats to persons are made, or the Executive Director or Chair of the Board perceives a possible danger to a party or to other employees, including the possibility of one party being a danger to themselves, external professional assistance must be sought immediately.</w:t>
      </w:r>
    </w:p>
    <w:p w14:paraId="1B28F634" w14:textId="77777777" w:rsidR="00630F73" w:rsidRDefault="00630F73" w:rsidP="0005203A">
      <w:pPr>
        <w:rPr>
          <w:rFonts w:asciiTheme="minorHAnsi" w:hAnsiTheme="minorHAnsi"/>
          <w:spacing w:val="-4"/>
          <w:sz w:val="22"/>
          <w:szCs w:val="22"/>
        </w:rPr>
      </w:pPr>
    </w:p>
    <w:p w14:paraId="7FFC889D" w14:textId="77777777" w:rsidR="00630F73" w:rsidRDefault="00630F73" w:rsidP="0005203A">
      <w:pPr>
        <w:rPr>
          <w:rFonts w:asciiTheme="minorHAnsi" w:hAnsiTheme="minorHAnsi"/>
          <w:spacing w:val="-4"/>
          <w:sz w:val="22"/>
          <w:szCs w:val="22"/>
        </w:rPr>
      </w:pPr>
    </w:p>
    <w:p w14:paraId="24CA53E7" w14:textId="77777777" w:rsidR="00630F73" w:rsidRDefault="00630F73" w:rsidP="0005203A">
      <w:pPr>
        <w:rPr>
          <w:rFonts w:asciiTheme="majorHAnsi" w:hAnsiTheme="majorHAnsi"/>
          <w:spacing w:val="-4"/>
          <w:sz w:val="22"/>
          <w:szCs w:val="22"/>
        </w:rPr>
      </w:pPr>
    </w:p>
    <w:p w14:paraId="524FF761" w14:textId="765B39EE" w:rsidR="0054568C" w:rsidRPr="00630F73" w:rsidRDefault="00630F73" w:rsidP="0005203A">
      <w:pPr>
        <w:rPr>
          <w:rFonts w:asciiTheme="majorHAnsi" w:hAnsiTheme="majorHAnsi"/>
          <w:spacing w:val="-4"/>
          <w:sz w:val="22"/>
          <w:szCs w:val="22"/>
        </w:rPr>
      </w:pPr>
      <w:r w:rsidRPr="00630F73">
        <w:rPr>
          <w:rFonts w:asciiTheme="majorHAnsi" w:hAnsiTheme="majorHAnsi"/>
          <w:spacing w:val="-4"/>
          <w:sz w:val="22"/>
          <w:szCs w:val="22"/>
        </w:rPr>
        <w:t xml:space="preserve">Note: This sample policy may be freely used </w:t>
      </w:r>
      <w:r w:rsidR="00060511" w:rsidRPr="00630F73">
        <w:rPr>
          <w:rFonts w:asciiTheme="majorHAnsi" w:hAnsiTheme="majorHAnsi"/>
          <w:noProof/>
          <w:spacing w:val="-4"/>
          <w:sz w:val="22"/>
          <w:szCs w:val="22"/>
        </w:rPr>
        <mc:AlternateContent>
          <mc:Choice Requires="wps">
            <w:drawing>
              <wp:anchor distT="0" distB="0" distL="114300" distR="114300" simplePos="0" relativeHeight="251661312" behindDoc="0" locked="0" layoutInCell="1" allowOverlap="1" wp14:anchorId="7EEA0306" wp14:editId="44DA5A2B">
                <wp:simplePos x="0" y="0"/>
                <wp:positionH relativeFrom="column">
                  <wp:posOffset>0</wp:posOffset>
                </wp:positionH>
                <wp:positionV relativeFrom="paragraph">
                  <wp:posOffset>2220595</wp:posOffset>
                </wp:positionV>
                <wp:extent cx="5867400" cy="20701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867400" cy="2070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162E10" w14:textId="259DD1B8" w:rsidR="00060511" w:rsidRDefault="00060511" w:rsidP="000605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0;margin-top:174.85pt;width:462pt;height:16.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" filled="f" stroked="f">
                <v:textbox>
                  <w:txbxContent>
                    <w:p w14:paraId="79162E10" w14:textId="259DD1B8" w:rsidR="00060511" w:rsidRDefault="00060511" w:rsidP="00060511"/>
                  </w:txbxContent>
                </v:textbox>
                <w10:wrap type="square"/>
              </v:shape>
            </w:pict>
          </mc:Fallback>
        </mc:AlternateContent>
      </w:r>
      <w:r>
        <w:rPr>
          <w:rFonts w:asciiTheme="majorHAnsi" w:hAnsiTheme="majorHAnsi"/>
          <w:spacing w:val="-4"/>
          <w:sz w:val="22"/>
          <w:szCs w:val="22"/>
        </w:rPr>
        <w:t xml:space="preserve">and adapted by </w:t>
      </w:r>
      <w:r w:rsidRPr="00630F73">
        <w:rPr>
          <w:rFonts w:asciiTheme="majorHAnsi" w:hAnsiTheme="majorHAnsi"/>
          <w:spacing w:val="-4"/>
          <w:sz w:val="22"/>
          <w:szCs w:val="22"/>
        </w:rPr>
        <w:t xml:space="preserve">non-profit organizations without attribution. </w:t>
      </w:r>
    </w:p>
    <w:sectPr w:rsidR="0054568C" w:rsidRPr="00630F73" w:rsidSect="0054568C">
      <w:headerReference w:type="default" r:id="rId9"/>
      <w:footerReference w:type="even" r:id="rId10"/>
      <w:footerReference w:type="default" r:id="rId11"/>
      <w:endnotePr>
        <w:numFmt w:val="decimal"/>
      </w:endnotePr>
      <w:type w:val="continuous"/>
      <w:pgSz w:w="12240" w:h="15840" w:code="1"/>
      <w:pgMar w:top="1009" w:right="1247" w:bottom="1009" w:left="1361" w:header="720" w:footer="720"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801B3" w14:textId="77777777" w:rsidR="0054568C" w:rsidRDefault="0054568C">
      <w:r>
        <w:separator/>
      </w:r>
    </w:p>
  </w:endnote>
  <w:endnote w:type="continuationSeparator" w:id="0">
    <w:p w14:paraId="784083C8" w14:textId="77777777" w:rsidR="0054568C" w:rsidRDefault="0054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582"/>
      <w:gridCol w:w="9280"/>
    </w:tblGrid>
    <w:tr w:rsidR="0054568C" w14:paraId="6E49EB26" w14:textId="77777777" w:rsidTr="0054568C">
      <w:tc>
        <w:tcPr>
          <w:tcW w:w="295" w:type="pct"/>
          <w:tcBorders>
            <w:right w:val="single" w:sz="18" w:space="0" w:color="4F81BD"/>
          </w:tcBorders>
        </w:tcPr>
        <w:p w14:paraId="0E514B3E" w14:textId="77777777" w:rsidR="0054568C" w:rsidRPr="0054568C" w:rsidRDefault="0054568C" w:rsidP="0054568C">
          <w:pPr>
            <w:pStyle w:val="Header"/>
            <w:rPr>
              <w:rFonts w:ascii="Calibri" w:hAnsi="Calibri"/>
              <w:b/>
              <w:color w:val="4F81BD"/>
            </w:rPr>
          </w:pPr>
          <w:r w:rsidRPr="0054568C">
            <w:rPr>
              <w:rFonts w:ascii="Calibri" w:hAnsi="Calibri"/>
              <w:b/>
              <w:color w:val="4F81BD"/>
            </w:rPr>
            <w:fldChar w:fldCharType="begin"/>
          </w:r>
          <w:r w:rsidRPr="0054568C">
            <w:rPr>
              <w:rFonts w:ascii="Calibri" w:hAnsi="Calibri"/>
              <w:b/>
              <w:color w:val="4F81BD"/>
            </w:rPr>
            <w:instrText xml:space="preserve"> PAGE   \* MERGEFORMAT </w:instrText>
          </w:r>
          <w:r w:rsidRPr="0054568C">
            <w:rPr>
              <w:rFonts w:ascii="Calibri" w:hAnsi="Calibri"/>
              <w:b/>
              <w:color w:val="4F81BD"/>
            </w:rPr>
            <w:fldChar w:fldCharType="separate"/>
          </w:r>
          <w:r w:rsidR="00630F73">
            <w:rPr>
              <w:rFonts w:ascii="Calibri" w:hAnsi="Calibri"/>
              <w:b/>
              <w:noProof/>
              <w:color w:val="4F81BD"/>
            </w:rPr>
            <w:t>2</w:t>
          </w:r>
          <w:r w:rsidRPr="0054568C">
            <w:rPr>
              <w:rFonts w:ascii="Calibri" w:hAnsi="Calibri"/>
              <w:b/>
              <w:color w:val="4F81BD"/>
            </w:rPr>
            <w:fldChar w:fldCharType="end"/>
          </w:r>
        </w:p>
      </w:tc>
      <w:tc>
        <w:tcPr>
          <w:tcW w:w="4705" w:type="pct"/>
          <w:tcBorders>
            <w:left w:val="single" w:sz="18" w:space="0" w:color="4F81BD"/>
          </w:tcBorders>
        </w:tcPr>
        <w:p w14:paraId="5FC045FD" w14:textId="61EABF25" w:rsidR="0054568C" w:rsidRPr="00906480" w:rsidRDefault="00906480" w:rsidP="0054568C">
          <w:pPr>
            <w:pStyle w:val="Header"/>
            <w:rPr>
              <w:rFonts w:ascii="Calibri" w:eastAsia="ＭＳ ゴシック" w:hAnsi="Calibri"/>
              <w:color w:val="548DD4" w:themeColor="text2" w:themeTint="99"/>
              <w:sz w:val="20"/>
              <w:szCs w:val="20"/>
            </w:rPr>
          </w:pPr>
          <w:r w:rsidRPr="00906480">
            <w:rPr>
              <w:rFonts w:ascii="Calibri" w:eastAsia="ＭＳ ゴシック" w:hAnsi="Calibri"/>
              <w:color w:val="548DD4" w:themeColor="text2" w:themeTint="99"/>
              <w:sz w:val="20"/>
              <w:szCs w:val="20"/>
            </w:rPr>
            <w:t>© 2021</w:t>
          </w:r>
          <w:r w:rsidR="0054568C" w:rsidRPr="00906480">
            <w:rPr>
              <w:rFonts w:ascii="Calibri" w:eastAsia="ＭＳ ゴシック" w:hAnsi="Calibri"/>
              <w:color w:val="548DD4" w:themeColor="text2" w:themeTint="99"/>
              <w:sz w:val="20"/>
              <w:szCs w:val="20"/>
            </w:rPr>
            <w:t xml:space="preserve"> Governing</w:t>
          </w:r>
          <w:r w:rsidR="0005203A" w:rsidRPr="00906480">
            <w:rPr>
              <w:rFonts w:ascii="Calibri" w:eastAsia="ＭＳ ゴシック" w:hAnsi="Calibri"/>
              <w:color w:val="548DD4" w:themeColor="text2" w:themeTint="99"/>
              <w:sz w:val="20"/>
              <w:szCs w:val="20"/>
            </w:rPr>
            <w:t xml:space="preserve"> </w:t>
          </w:r>
          <w:r w:rsidR="0054568C" w:rsidRPr="00906480">
            <w:rPr>
              <w:rFonts w:ascii="Calibri" w:eastAsia="ＭＳ ゴシック" w:hAnsi="Calibri"/>
              <w:color w:val="548DD4" w:themeColor="text2" w:themeTint="99"/>
              <w:sz w:val="20"/>
              <w:szCs w:val="20"/>
            </w:rPr>
            <w:t xml:space="preserve">Good </w:t>
          </w:r>
        </w:p>
      </w:tc>
    </w:tr>
  </w:tbl>
  <w:p w14:paraId="24CF14C1" w14:textId="77777777" w:rsidR="0054568C" w:rsidRDefault="0054568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9373"/>
      <w:gridCol w:w="489"/>
    </w:tblGrid>
    <w:tr w:rsidR="0054568C" w14:paraId="1D2F5FFC" w14:textId="77777777" w:rsidTr="0054568C">
      <w:tc>
        <w:tcPr>
          <w:tcW w:w="4752" w:type="pct"/>
          <w:tcBorders>
            <w:right w:val="single" w:sz="18" w:space="0" w:color="4F81BD"/>
          </w:tcBorders>
        </w:tcPr>
        <w:p w14:paraId="6038EFD9" w14:textId="70FF0D39" w:rsidR="0054568C" w:rsidRPr="00906480" w:rsidRDefault="007D0F81" w:rsidP="0054568C">
          <w:pPr>
            <w:pStyle w:val="Header"/>
            <w:jc w:val="right"/>
            <w:rPr>
              <w:rFonts w:ascii="Calibri" w:hAnsi="Calibri"/>
              <w:b/>
              <w:color w:val="548DD4" w:themeColor="text2" w:themeTint="99"/>
            </w:rPr>
          </w:pPr>
          <w:r>
            <w:rPr>
              <w:rFonts w:ascii="Calibri" w:eastAsia="ＭＳ ゴシック" w:hAnsi="Calibri"/>
              <w:color w:val="4F81BD"/>
              <w:sz w:val="20"/>
              <w:szCs w:val="20"/>
            </w:rPr>
            <w:t xml:space="preserve">     </w:t>
          </w:r>
          <w:r w:rsidR="00906480" w:rsidRPr="00906480">
            <w:rPr>
              <w:rFonts w:ascii="Calibri" w:eastAsia="ＭＳ ゴシック" w:hAnsi="Calibri"/>
              <w:color w:val="548DD4" w:themeColor="text2" w:themeTint="99"/>
              <w:sz w:val="20"/>
              <w:szCs w:val="20"/>
            </w:rPr>
            <w:t>© 2021</w:t>
          </w:r>
          <w:r w:rsidR="0054568C" w:rsidRPr="00906480">
            <w:rPr>
              <w:rFonts w:ascii="Calibri" w:eastAsia="ＭＳ ゴシック" w:hAnsi="Calibri"/>
              <w:color w:val="548DD4" w:themeColor="text2" w:themeTint="99"/>
              <w:sz w:val="20"/>
              <w:szCs w:val="20"/>
            </w:rPr>
            <w:t xml:space="preserve"> Governing</w:t>
          </w:r>
          <w:r w:rsidR="0005203A" w:rsidRPr="00906480">
            <w:rPr>
              <w:rFonts w:ascii="Calibri" w:eastAsia="ＭＳ ゴシック" w:hAnsi="Calibri"/>
              <w:color w:val="548DD4" w:themeColor="text2" w:themeTint="99"/>
              <w:sz w:val="20"/>
              <w:szCs w:val="20"/>
            </w:rPr>
            <w:t xml:space="preserve"> </w:t>
          </w:r>
          <w:r w:rsidR="0054568C" w:rsidRPr="00906480">
            <w:rPr>
              <w:rFonts w:ascii="Calibri" w:eastAsia="ＭＳ ゴシック" w:hAnsi="Calibri"/>
              <w:color w:val="548DD4" w:themeColor="text2" w:themeTint="99"/>
              <w:sz w:val="20"/>
              <w:szCs w:val="20"/>
            </w:rPr>
            <w:t>Good</w:t>
          </w:r>
        </w:p>
      </w:tc>
      <w:tc>
        <w:tcPr>
          <w:tcW w:w="248" w:type="pct"/>
          <w:tcBorders>
            <w:left w:val="single" w:sz="18" w:space="0" w:color="4F81BD"/>
          </w:tcBorders>
        </w:tcPr>
        <w:p w14:paraId="035634AC" w14:textId="77777777" w:rsidR="0054568C" w:rsidRPr="0054568C" w:rsidRDefault="0054568C" w:rsidP="0054568C">
          <w:pPr>
            <w:pStyle w:val="Header"/>
            <w:rPr>
              <w:rFonts w:ascii="Calibri" w:eastAsia="ＭＳ ゴシック" w:hAnsi="Calibri"/>
              <w:b/>
              <w:color w:val="4F81BD"/>
            </w:rPr>
          </w:pPr>
          <w:r w:rsidRPr="0054568C">
            <w:rPr>
              <w:rFonts w:ascii="Calibri" w:hAnsi="Calibri"/>
              <w:b/>
              <w:color w:val="4F81BD"/>
            </w:rPr>
            <w:fldChar w:fldCharType="begin"/>
          </w:r>
          <w:r w:rsidRPr="0054568C">
            <w:rPr>
              <w:rFonts w:ascii="Calibri" w:hAnsi="Calibri"/>
              <w:b/>
              <w:color w:val="4F81BD"/>
            </w:rPr>
            <w:instrText xml:space="preserve"> PAGE   \* MERGEFORMAT </w:instrText>
          </w:r>
          <w:r w:rsidRPr="0054568C">
            <w:rPr>
              <w:rFonts w:ascii="Calibri" w:hAnsi="Calibri"/>
              <w:b/>
              <w:color w:val="4F81BD"/>
            </w:rPr>
            <w:fldChar w:fldCharType="separate"/>
          </w:r>
          <w:r w:rsidR="00630F73">
            <w:rPr>
              <w:rFonts w:ascii="Calibri" w:hAnsi="Calibri"/>
              <w:b/>
              <w:noProof/>
              <w:color w:val="4F81BD"/>
            </w:rPr>
            <w:t>1</w:t>
          </w:r>
          <w:r w:rsidRPr="0054568C">
            <w:rPr>
              <w:rFonts w:ascii="Calibri" w:hAnsi="Calibri"/>
              <w:b/>
              <w:color w:val="4F81BD"/>
            </w:rPr>
            <w:fldChar w:fldCharType="end"/>
          </w:r>
        </w:p>
      </w:tc>
    </w:tr>
  </w:tbl>
  <w:p w14:paraId="3D82148C" w14:textId="77777777" w:rsidR="0054568C" w:rsidRPr="00003577" w:rsidRDefault="0054568C" w:rsidP="00ED5115">
    <w:pPr>
      <w:pStyle w:val="Footer"/>
      <w:tabs>
        <w:tab w:val="clear" w:pos="8640"/>
        <w:tab w:val="right" w:pos="9360"/>
      </w:tabs>
      <w:rPr>
        <w:rFonts w:ascii="Arial" w:hAnsi="Arial" w:cs="Arial"/>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223B2" w14:textId="77777777" w:rsidR="0054568C" w:rsidRDefault="0054568C">
      <w:r>
        <w:separator/>
      </w:r>
    </w:p>
  </w:footnote>
  <w:footnote w:type="continuationSeparator" w:id="0">
    <w:p w14:paraId="1E8FF461" w14:textId="77777777" w:rsidR="0054568C" w:rsidRDefault="005456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6ABF9" w14:textId="366502CF" w:rsidR="0054568C" w:rsidRPr="00630F73" w:rsidRDefault="00630F73" w:rsidP="00ED5115">
    <w:pPr>
      <w:pStyle w:val="Header"/>
      <w:jc w:val="right"/>
      <w:rPr>
        <w:rFonts w:asciiTheme="majorHAnsi" w:hAnsiTheme="majorHAnsi" w:cs="Arial"/>
        <w:sz w:val="20"/>
        <w:szCs w:val="20"/>
      </w:rPr>
    </w:pPr>
    <w:r w:rsidRPr="00630F73">
      <w:rPr>
        <w:rFonts w:asciiTheme="majorHAnsi" w:hAnsiTheme="majorHAnsi" w:cs="Arial"/>
        <w:sz w:val="20"/>
        <w:szCs w:val="20"/>
      </w:rPr>
      <w:t>Sample Policy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9D2AE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4B3E41"/>
    <w:multiLevelType w:val="hybridMultilevel"/>
    <w:tmpl w:val="201C59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ACD0BD2"/>
    <w:multiLevelType w:val="hybridMultilevel"/>
    <w:tmpl w:val="4B6285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C50ACE"/>
    <w:multiLevelType w:val="hybridMultilevel"/>
    <w:tmpl w:val="7F9E73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B3E02F6"/>
    <w:multiLevelType w:val="hybridMultilevel"/>
    <w:tmpl w:val="A21A4E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6BAC6309"/>
    <w:multiLevelType w:val="hybridMultilevel"/>
    <w:tmpl w:val="AF0CF592"/>
    <w:lvl w:ilvl="0" w:tplc="0409000F">
      <w:start w:val="1"/>
      <w:numFmt w:val="decimal"/>
      <w:lvlText w:val="%1."/>
      <w:lvlJc w:val="left"/>
      <w:pPr>
        <w:ind w:left="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5A"/>
    <w:rsid w:val="0005203A"/>
    <w:rsid w:val="00052421"/>
    <w:rsid w:val="00060511"/>
    <w:rsid w:val="00082EEA"/>
    <w:rsid w:val="000A0263"/>
    <w:rsid w:val="00102455"/>
    <w:rsid w:val="00134F73"/>
    <w:rsid w:val="00185F1C"/>
    <w:rsid w:val="001D466E"/>
    <w:rsid w:val="0026757A"/>
    <w:rsid w:val="002E3CAB"/>
    <w:rsid w:val="0039355A"/>
    <w:rsid w:val="00517804"/>
    <w:rsid w:val="0054568C"/>
    <w:rsid w:val="005F57B2"/>
    <w:rsid w:val="00630F73"/>
    <w:rsid w:val="006727BF"/>
    <w:rsid w:val="007D0F81"/>
    <w:rsid w:val="007F283D"/>
    <w:rsid w:val="00906480"/>
    <w:rsid w:val="00913511"/>
    <w:rsid w:val="00933140"/>
    <w:rsid w:val="009F5352"/>
    <w:rsid w:val="00B86A1E"/>
    <w:rsid w:val="00C14E2B"/>
    <w:rsid w:val="00E3523C"/>
    <w:rsid w:val="00ED511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85C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73A0"/>
    <w:pPr>
      <w:tabs>
        <w:tab w:val="center" w:pos="4320"/>
        <w:tab w:val="right" w:pos="8640"/>
      </w:tabs>
    </w:pPr>
  </w:style>
  <w:style w:type="paragraph" w:styleId="Footer">
    <w:name w:val="footer"/>
    <w:basedOn w:val="Normal"/>
    <w:rsid w:val="00CB73A0"/>
    <w:pPr>
      <w:tabs>
        <w:tab w:val="center" w:pos="4320"/>
        <w:tab w:val="right" w:pos="8640"/>
      </w:tabs>
    </w:pPr>
  </w:style>
  <w:style w:type="character" w:styleId="PageNumber">
    <w:name w:val="page number"/>
    <w:basedOn w:val="DefaultParagraphFont"/>
    <w:rsid w:val="00CB73A0"/>
  </w:style>
  <w:style w:type="paragraph" w:styleId="EndnoteText">
    <w:name w:val="endnote text"/>
    <w:basedOn w:val="Normal"/>
    <w:semiHidden/>
    <w:rsid w:val="009B7F5D"/>
    <w:rPr>
      <w:sz w:val="20"/>
      <w:szCs w:val="20"/>
    </w:rPr>
  </w:style>
  <w:style w:type="character" w:styleId="EndnoteReference">
    <w:name w:val="endnote reference"/>
    <w:semiHidden/>
    <w:rsid w:val="009B7F5D"/>
    <w:rPr>
      <w:vertAlign w:val="superscript"/>
    </w:rPr>
  </w:style>
  <w:style w:type="paragraph" w:customStyle="1" w:styleId="ColorfulList-Accent11">
    <w:name w:val="Colorful List - Accent 11"/>
    <w:basedOn w:val="Normal"/>
    <w:uiPriority w:val="34"/>
    <w:qFormat/>
    <w:rsid w:val="00171258"/>
    <w:pPr>
      <w:ind w:left="720"/>
    </w:pPr>
  </w:style>
  <w:style w:type="paragraph" w:styleId="ListParagraph">
    <w:name w:val="List Paragraph"/>
    <w:basedOn w:val="Normal"/>
    <w:uiPriority w:val="34"/>
    <w:qFormat/>
    <w:rsid w:val="00933140"/>
    <w:pPr>
      <w:ind w:left="720"/>
    </w:pPr>
  </w:style>
  <w:style w:type="character" w:customStyle="1" w:styleId="a-list-item">
    <w:name w:val="a-list-item"/>
    <w:rsid w:val="002E3CAB"/>
  </w:style>
  <w:style w:type="character" w:customStyle="1" w:styleId="HeaderChar">
    <w:name w:val="Header Char"/>
    <w:link w:val="Header"/>
    <w:uiPriority w:val="99"/>
    <w:rsid w:val="0054568C"/>
    <w:rPr>
      <w:sz w:val="24"/>
      <w:szCs w:val="24"/>
      <w:lang w:val="en-US"/>
    </w:rPr>
  </w:style>
  <w:style w:type="paragraph" w:styleId="BalloonText">
    <w:name w:val="Balloon Text"/>
    <w:basedOn w:val="Normal"/>
    <w:link w:val="BalloonTextChar"/>
    <w:uiPriority w:val="99"/>
    <w:semiHidden/>
    <w:unhideWhenUsed/>
    <w:rsid w:val="0005203A"/>
    <w:rPr>
      <w:rFonts w:ascii="Lucida Grande" w:hAnsi="Lucida Grande"/>
      <w:sz w:val="18"/>
      <w:szCs w:val="18"/>
    </w:rPr>
  </w:style>
  <w:style w:type="character" w:customStyle="1" w:styleId="BalloonTextChar">
    <w:name w:val="Balloon Text Char"/>
    <w:basedOn w:val="DefaultParagraphFont"/>
    <w:link w:val="BalloonText"/>
    <w:uiPriority w:val="99"/>
    <w:semiHidden/>
    <w:rsid w:val="0005203A"/>
    <w:rPr>
      <w:rFonts w:ascii="Lucida Grande" w:hAnsi="Lucida Grande"/>
      <w:sz w:val="18"/>
      <w:szCs w:val="18"/>
      <w:lang w:val="en-US"/>
    </w:rPr>
  </w:style>
  <w:style w:type="character" w:styleId="Hyperlink">
    <w:name w:val="Hyperlink"/>
    <w:basedOn w:val="DefaultParagraphFont"/>
    <w:uiPriority w:val="99"/>
    <w:unhideWhenUsed/>
    <w:rsid w:val="0005203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73A0"/>
    <w:pPr>
      <w:tabs>
        <w:tab w:val="center" w:pos="4320"/>
        <w:tab w:val="right" w:pos="8640"/>
      </w:tabs>
    </w:pPr>
  </w:style>
  <w:style w:type="paragraph" w:styleId="Footer">
    <w:name w:val="footer"/>
    <w:basedOn w:val="Normal"/>
    <w:rsid w:val="00CB73A0"/>
    <w:pPr>
      <w:tabs>
        <w:tab w:val="center" w:pos="4320"/>
        <w:tab w:val="right" w:pos="8640"/>
      </w:tabs>
    </w:pPr>
  </w:style>
  <w:style w:type="character" w:styleId="PageNumber">
    <w:name w:val="page number"/>
    <w:basedOn w:val="DefaultParagraphFont"/>
    <w:rsid w:val="00CB73A0"/>
  </w:style>
  <w:style w:type="paragraph" w:styleId="EndnoteText">
    <w:name w:val="endnote text"/>
    <w:basedOn w:val="Normal"/>
    <w:semiHidden/>
    <w:rsid w:val="009B7F5D"/>
    <w:rPr>
      <w:sz w:val="20"/>
      <w:szCs w:val="20"/>
    </w:rPr>
  </w:style>
  <w:style w:type="character" w:styleId="EndnoteReference">
    <w:name w:val="endnote reference"/>
    <w:semiHidden/>
    <w:rsid w:val="009B7F5D"/>
    <w:rPr>
      <w:vertAlign w:val="superscript"/>
    </w:rPr>
  </w:style>
  <w:style w:type="paragraph" w:customStyle="1" w:styleId="ColorfulList-Accent11">
    <w:name w:val="Colorful List - Accent 11"/>
    <w:basedOn w:val="Normal"/>
    <w:uiPriority w:val="34"/>
    <w:qFormat/>
    <w:rsid w:val="00171258"/>
    <w:pPr>
      <w:ind w:left="720"/>
    </w:pPr>
  </w:style>
  <w:style w:type="paragraph" w:styleId="ListParagraph">
    <w:name w:val="List Paragraph"/>
    <w:basedOn w:val="Normal"/>
    <w:uiPriority w:val="34"/>
    <w:qFormat/>
    <w:rsid w:val="00933140"/>
    <w:pPr>
      <w:ind w:left="720"/>
    </w:pPr>
  </w:style>
  <w:style w:type="character" w:customStyle="1" w:styleId="a-list-item">
    <w:name w:val="a-list-item"/>
    <w:rsid w:val="002E3CAB"/>
  </w:style>
  <w:style w:type="character" w:customStyle="1" w:styleId="HeaderChar">
    <w:name w:val="Header Char"/>
    <w:link w:val="Header"/>
    <w:uiPriority w:val="99"/>
    <w:rsid w:val="0054568C"/>
    <w:rPr>
      <w:sz w:val="24"/>
      <w:szCs w:val="24"/>
      <w:lang w:val="en-US"/>
    </w:rPr>
  </w:style>
  <w:style w:type="paragraph" w:styleId="BalloonText">
    <w:name w:val="Balloon Text"/>
    <w:basedOn w:val="Normal"/>
    <w:link w:val="BalloonTextChar"/>
    <w:uiPriority w:val="99"/>
    <w:semiHidden/>
    <w:unhideWhenUsed/>
    <w:rsid w:val="0005203A"/>
    <w:rPr>
      <w:rFonts w:ascii="Lucida Grande" w:hAnsi="Lucida Grande"/>
      <w:sz w:val="18"/>
      <w:szCs w:val="18"/>
    </w:rPr>
  </w:style>
  <w:style w:type="character" w:customStyle="1" w:styleId="BalloonTextChar">
    <w:name w:val="Balloon Text Char"/>
    <w:basedOn w:val="DefaultParagraphFont"/>
    <w:link w:val="BalloonText"/>
    <w:uiPriority w:val="99"/>
    <w:semiHidden/>
    <w:rsid w:val="0005203A"/>
    <w:rPr>
      <w:rFonts w:ascii="Lucida Grande" w:hAnsi="Lucida Grande"/>
      <w:sz w:val="18"/>
      <w:szCs w:val="18"/>
      <w:lang w:val="en-US"/>
    </w:rPr>
  </w:style>
  <w:style w:type="character" w:styleId="Hyperlink">
    <w:name w:val="Hyperlink"/>
    <w:basedOn w:val="DefaultParagraphFont"/>
    <w:uiPriority w:val="99"/>
    <w:unhideWhenUsed/>
    <w:rsid w:val="000520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990B3-B061-4D4E-B7AE-D3ECDFF55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937</Words>
  <Characters>5343</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Policy Type: </vt:lpstr>
    </vt:vector>
  </TitlesOfParts>
  <Company> </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Type: </dc:title>
  <dc:subject/>
  <dc:creator> </dc:creator>
  <cp:keywords/>
  <dc:description/>
  <cp:lastModifiedBy>E Grant MacDonald</cp:lastModifiedBy>
  <cp:revision>3</cp:revision>
  <cp:lastPrinted>2017-04-01T20:04:00Z</cp:lastPrinted>
  <dcterms:created xsi:type="dcterms:W3CDTF">2021-03-16T22:52:00Z</dcterms:created>
  <dcterms:modified xsi:type="dcterms:W3CDTF">2021-03-16T23:08:00Z</dcterms:modified>
</cp:coreProperties>
</file>