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256A5" w14:textId="77777777" w:rsidR="00D562F7" w:rsidRDefault="00D562F7" w:rsidP="0045345D">
      <w:pPr>
        <w:rPr>
          <w:rFonts w:asciiTheme="majorHAnsi" w:eastAsia="Times New Roman" w:hAnsiTheme="majorHAnsi" w:cs="Times New Roman"/>
          <w:i/>
          <w:sz w:val="22"/>
          <w:szCs w:val="22"/>
        </w:rPr>
      </w:pPr>
    </w:p>
    <w:p w14:paraId="2BBE3D3D" w14:textId="77777777" w:rsidR="00FB120E" w:rsidRPr="00F94AD3" w:rsidRDefault="00FB120E" w:rsidP="00FB120E">
      <w:pPr>
        <w:rPr>
          <w:rFonts w:ascii="Century Gothic" w:hAnsi="Century Gothic"/>
          <w:bCs/>
          <w:i/>
          <w:iCs/>
          <w:color w:val="000000" w:themeColor="text1"/>
        </w:rPr>
      </w:pPr>
      <w:r w:rsidRPr="00F94AD3">
        <w:rPr>
          <w:rFonts w:ascii="Century Gothic" w:hAnsi="Century Gothic"/>
          <w:bCs/>
          <w:i/>
          <w:iCs/>
          <w:color w:val="000000" w:themeColor="text1"/>
        </w:rPr>
        <w:t>The effective governance of non-profit organizations relies on clarity of rol</w:t>
      </w:r>
      <w:r>
        <w:rPr>
          <w:rFonts w:ascii="Century Gothic" w:hAnsi="Century Gothic"/>
          <w:bCs/>
          <w:i/>
          <w:iCs/>
          <w:color w:val="000000" w:themeColor="text1"/>
        </w:rPr>
        <w:t>es</w:t>
      </w:r>
      <w:r w:rsidRPr="00F94AD3">
        <w:rPr>
          <w:rFonts w:ascii="Century Gothic" w:hAnsi="Century Gothic"/>
          <w:bCs/>
          <w:i/>
          <w:iCs/>
          <w:color w:val="000000" w:themeColor="text1"/>
        </w:rPr>
        <w:t xml:space="preserve"> and responsibilities. Some confusion can exit </w:t>
      </w:r>
      <w:r>
        <w:rPr>
          <w:rFonts w:ascii="Century Gothic" w:hAnsi="Century Gothic"/>
          <w:bCs/>
          <w:i/>
          <w:iCs/>
          <w:color w:val="000000" w:themeColor="text1"/>
        </w:rPr>
        <w:t>with respect to the</w:t>
      </w:r>
      <w:r w:rsidRPr="00F94AD3">
        <w:rPr>
          <w:rFonts w:ascii="Century Gothic" w:hAnsi="Century Gothic"/>
          <w:bCs/>
          <w:i/>
          <w:iCs/>
          <w:color w:val="000000" w:themeColor="text1"/>
        </w:rPr>
        <w:t xml:space="preserve"> line between the board and the executive director/CEO</w:t>
      </w:r>
      <w:r>
        <w:rPr>
          <w:rFonts w:ascii="Century Gothic" w:hAnsi="Century Gothic"/>
          <w:bCs/>
          <w:i/>
          <w:iCs/>
          <w:color w:val="000000" w:themeColor="text1"/>
        </w:rPr>
        <w:t>’s authority. Some blurriness of the line is to be expected in unusual circumstances and new situations but not so in most routine matters. This policy will be of interest and value to new board members and staff.</w:t>
      </w:r>
    </w:p>
    <w:p w14:paraId="3C400D4D" w14:textId="77777777" w:rsidR="00FB120E" w:rsidRDefault="00FB120E" w:rsidP="00FB120E">
      <w:pPr>
        <w:rPr>
          <w:rFonts w:ascii="Century Gothic" w:hAnsi="Century Gothic"/>
          <w:b/>
          <w:color w:val="000000" w:themeColor="text1"/>
          <w:sz w:val="40"/>
          <w:szCs w:val="40"/>
        </w:rPr>
      </w:pPr>
      <w:r>
        <w:rPr>
          <w:rFonts w:ascii="Century Gothic" w:hAnsi="Century Gothic"/>
          <w:b/>
          <w:color w:val="000000" w:themeColor="text1"/>
          <w:sz w:val="40"/>
          <w:szCs w:val="40"/>
        </w:rPr>
        <w:t xml:space="preserve">  </w:t>
      </w:r>
    </w:p>
    <w:p w14:paraId="004B0909" w14:textId="77777777" w:rsidR="00FB120E" w:rsidRPr="00F94AD3" w:rsidRDefault="00FB120E" w:rsidP="00FB120E">
      <w:pPr>
        <w:rPr>
          <w:rFonts w:ascii="Century Gothic" w:hAnsi="Century Gothic"/>
          <w:b/>
          <w:color w:val="1F497D" w:themeColor="text2"/>
          <w:sz w:val="40"/>
          <w:szCs w:val="40"/>
        </w:rPr>
      </w:pPr>
      <w:r w:rsidRPr="00F94AD3">
        <w:rPr>
          <w:rFonts w:ascii="Century Gothic" w:hAnsi="Century Gothic"/>
          <w:b/>
          <w:color w:val="1F497D" w:themeColor="text2"/>
          <w:sz w:val="40"/>
          <w:szCs w:val="40"/>
        </w:rPr>
        <w:t xml:space="preserve">Authority and Accountability of </w:t>
      </w:r>
    </w:p>
    <w:p w14:paraId="59A64B60" w14:textId="77777777" w:rsidR="00FB120E" w:rsidRPr="00F94AD3" w:rsidRDefault="00FB120E" w:rsidP="00FB120E">
      <w:pPr>
        <w:rPr>
          <w:rFonts w:ascii="Century Gothic" w:hAnsi="Century Gothic"/>
          <w:b/>
          <w:color w:val="1F497D" w:themeColor="text2"/>
          <w:sz w:val="40"/>
          <w:szCs w:val="40"/>
        </w:rPr>
      </w:pPr>
      <w:r w:rsidRPr="00F94AD3">
        <w:rPr>
          <w:rFonts w:ascii="Century Gothic" w:hAnsi="Century Gothic"/>
          <w:b/>
          <w:color w:val="1F497D" w:themeColor="text2"/>
          <w:sz w:val="40"/>
          <w:szCs w:val="40"/>
        </w:rPr>
        <w:t>the Executive Director</w:t>
      </w:r>
    </w:p>
    <w:p w14:paraId="5BA6890D" w14:textId="77777777" w:rsidR="00FB120E" w:rsidRPr="003051FB" w:rsidRDefault="00FB120E" w:rsidP="00FB120E">
      <w:pPr>
        <w:rPr>
          <w:rFonts w:ascii="Century Gothic" w:hAnsi="Century Gothic"/>
          <w:b/>
          <w:color w:val="0000FF"/>
        </w:rPr>
      </w:pPr>
    </w:p>
    <w:p w14:paraId="1EE4A485" w14:textId="77777777" w:rsidR="00FB120E" w:rsidRPr="00F241BE" w:rsidRDefault="00FB120E" w:rsidP="00FB120E">
      <w:r w:rsidRPr="00F241BE">
        <w:t>The authority to direct the operations of the society is delegated to the executive director by the board of directors.</w:t>
      </w:r>
      <w:r>
        <w:rPr>
          <w:rStyle w:val="EndnoteReference"/>
        </w:rPr>
        <w:endnoteReference w:id="1"/>
      </w:r>
      <w:r w:rsidRPr="00F241BE">
        <w:t xml:space="preserve"> The executive director’s accountability is the accumulated accountability of all staff and therefore represents </w:t>
      </w:r>
      <w:r>
        <w:t xml:space="preserve">an </w:t>
      </w:r>
      <w:r w:rsidRPr="00F241BE">
        <w:t>accountability for all aspects of the society’s operations except for the work of the board itself.</w:t>
      </w:r>
      <w:r>
        <w:rPr>
          <w:rStyle w:val="EndnoteReference"/>
        </w:rPr>
        <w:endnoteReference w:id="2"/>
      </w:r>
    </w:p>
    <w:p w14:paraId="44885244" w14:textId="77777777" w:rsidR="00FB120E" w:rsidRPr="00F241BE" w:rsidRDefault="00FB120E" w:rsidP="00FB120E"/>
    <w:p w14:paraId="3CC8CD46" w14:textId="77777777" w:rsidR="00FB120E" w:rsidRPr="00F241BE" w:rsidRDefault="00FB120E" w:rsidP="00FB120E">
      <w:r w:rsidRPr="00F241BE">
        <w:t>The executive director is accountable to the board for:</w:t>
      </w:r>
    </w:p>
    <w:p w14:paraId="7E77D6B6" w14:textId="77777777" w:rsidR="00FB120E" w:rsidRPr="00F241BE" w:rsidRDefault="00FB120E" w:rsidP="00FB120E"/>
    <w:p w14:paraId="5674ED9D" w14:textId="77777777" w:rsidR="00FB120E" w:rsidRPr="00F241BE" w:rsidRDefault="00FB120E" w:rsidP="00FB120E">
      <w:pPr>
        <w:pStyle w:val="ListParagraph"/>
        <w:numPr>
          <w:ilvl w:val="0"/>
          <w:numId w:val="12"/>
        </w:numPr>
        <w:ind w:left="360"/>
      </w:pPr>
      <w:r>
        <w:t xml:space="preserve">The pursuit and </w:t>
      </w:r>
      <w:r w:rsidRPr="00F241BE">
        <w:t>achievement of the society’s mission and objectives</w:t>
      </w:r>
    </w:p>
    <w:p w14:paraId="5ECC96A5" w14:textId="77777777" w:rsidR="00FB120E" w:rsidRPr="00F241BE" w:rsidRDefault="00FB120E" w:rsidP="00FB120E">
      <w:pPr>
        <w:pStyle w:val="ListParagraph"/>
        <w:numPr>
          <w:ilvl w:val="0"/>
          <w:numId w:val="12"/>
        </w:numPr>
        <w:ind w:left="360"/>
      </w:pPr>
      <w:r w:rsidRPr="00F241BE">
        <w:t>Progress in meeting strategic organizational goals except where the responsibility for strategic matters is shared with the board, or is a matter that is primarily the board’s responsibility</w:t>
      </w:r>
      <w:r>
        <w:rPr>
          <w:rStyle w:val="EndnoteReference"/>
        </w:rPr>
        <w:endnoteReference w:id="3"/>
      </w:r>
    </w:p>
    <w:p w14:paraId="69BC2662" w14:textId="77777777" w:rsidR="00FB120E" w:rsidRDefault="00FB120E" w:rsidP="00FB120E">
      <w:pPr>
        <w:pStyle w:val="ListParagraph"/>
        <w:numPr>
          <w:ilvl w:val="0"/>
          <w:numId w:val="12"/>
        </w:numPr>
        <w:ind w:left="360"/>
      </w:pPr>
      <w:r w:rsidRPr="00F241BE">
        <w:t>The financial management of the Society</w:t>
      </w:r>
      <w:r>
        <w:rPr>
          <w:rStyle w:val="EndnoteReference"/>
        </w:rPr>
        <w:endnoteReference w:id="4"/>
      </w:r>
    </w:p>
    <w:p w14:paraId="721973C3" w14:textId="6AEA68D4" w:rsidR="00FB120E" w:rsidRPr="00F241BE" w:rsidRDefault="00FB120E" w:rsidP="00FB120E">
      <w:pPr>
        <w:pStyle w:val="ListParagraph"/>
        <w:numPr>
          <w:ilvl w:val="0"/>
          <w:numId w:val="12"/>
        </w:numPr>
        <w:ind w:left="360"/>
      </w:pPr>
      <w:r>
        <w:t xml:space="preserve">The </w:t>
      </w:r>
      <w:r w:rsidR="005305FB">
        <w:t>hiring</w:t>
      </w:r>
      <w:r w:rsidR="00E60CD9">
        <w:t>, firing</w:t>
      </w:r>
      <w:r w:rsidR="005305FB">
        <w:t xml:space="preserve">, </w:t>
      </w:r>
      <w:r w:rsidR="00F47002">
        <w:t>direction,</w:t>
      </w:r>
      <w:r w:rsidR="005305FB">
        <w:t xml:space="preserve"> and evaluation </w:t>
      </w:r>
      <w:r>
        <w:t xml:space="preserve">of staff consistent with the workplace principles and practices described in </w:t>
      </w:r>
      <w:r w:rsidR="00E60CD9">
        <w:t xml:space="preserve">employment legislation and board </w:t>
      </w:r>
      <w:r>
        <w:t>policy</w:t>
      </w:r>
      <w:r>
        <w:rPr>
          <w:rStyle w:val="EndnoteReference"/>
        </w:rPr>
        <w:endnoteReference w:id="5"/>
      </w:r>
    </w:p>
    <w:p w14:paraId="557AEAD6" w14:textId="77777777" w:rsidR="00FB120E" w:rsidRPr="00F241BE" w:rsidRDefault="00FB120E" w:rsidP="00FB120E">
      <w:pPr>
        <w:pStyle w:val="ListParagraph"/>
        <w:numPr>
          <w:ilvl w:val="0"/>
          <w:numId w:val="12"/>
        </w:numPr>
        <w:ind w:left="360"/>
      </w:pPr>
      <w:r w:rsidRPr="00F241BE">
        <w:t xml:space="preserve">The implementation of, and compliance with, policies that direct </w:t>
      </w:r>
      <w:r>
        <w:t xml:space="preserve">the </w:t>
      </w:r>
      <w:r w:rsidRPr="00F241BE">
        <w:t xml:space="preserve">society’s operations in </w:t>
      </w:r>
      <w:r>
        <w:t xml:space="preserve">other </w:t>
      </w:r>
      <w:r w:rsidRPr="00F241BE">
        <w:t>operational areas</w:t>
      </w:r>
      <w:r>
        <w:rPr>
          <w:rStyle w:val="EndnoteReference"/>
        </w:rPr>
        <w:endnoteReference w:id="6"/>
      </w:r>
      <w:r w:rsidRPr="00F241BE">
        <w:t xml:space="preserve"> </w:t>
      </w:r>
    </w:p>
    <w:p w14:paraId="678FFC44" w14:textId="77777777" w:rsidR="00FB120E" w:rsidRPr="00F241BE" w:rsidRDefault="00FB120E" w:rsidP="00FB120E"/>
    <w:p w14:paraId="19CDA575" w14:textId="28AF0FF6" w:rsidR="00FB120E" w:rsidRPr="00F241BE" w:rsidRDefault="00FB120E" w:rsidP="00FB120E">
      <w:r w:rsidRPr="00F241BE">
        <w:t>The executive director will regularly report on these matters to the board as formally agreed upon and/or as specified in the specific polic</w:t>
      </w:r>
      <w:r w:rsidR="001603D0">
        <w:t xml:space="preserve">y areas. </w:t>
      </w:r>
      <w:r>
        <w:t xml:space="preserve">The executive director’s performance will be regularly reviewed through </w:t>
      </w:r>
      <w:r w:rsidR="005305FB">
        <w:t>the</w:t>
      </w:r>
      <w:r w:rsidR="001603D0">
        <w:t xml:space="preserve"> </w:t>
      </w:r>
      <w:r w:rsidR="005305FB">
        <w:t>five lenses</w:t>
      </w:r>
      <w:r w:rsidR="001603D0">
        <w:t xml:space="preserve"> above</w:t>
      </w:r>
      <w:r>
        <w:t xml:space="preserve">. </w:t>
      </w:r>
    </w:p>
    <w:p w14:paraId="01512A70" w14:textId="77777777" w:rsidR="00FB120E" w:rsidRPr="00F241BE" w:rsidRDefault="00FB120E" w:rsidP="00FB120E"/>
    <w:p w14:paraId="21D5AF41" w14:textId="337BF0EF" w:rsidR="00FB120E" w:rsidRDefault="00FB120E" w:rsidP="00FB120E">
      <w:r w:rsidRPr="00F241BE">
        <w:t xml:space="preserve">The executive director will make a reasonable interpretation of </w:t>
      </w:r>
      <w:r w:rsidR="00E60CD9">
        <w:t xml:space="preserve">all </w:t>
      </w:r>
      <w:r w:rsidRPr="00F241BE">
        <w:t xml:space="preserve">governing policies </w:t>
      </w:r>
      <w:r w:rsidR="001603D0">
        <w:t xml:space="preserve">with respect to operations </w:t>
      </w:r>
      <w:r w:rsidRPr="00F241BE">
        <w:t>and make decisions and take actions consistent with them. The executive director will establish more detailed policies</w:t>
      </w:r>
      <w:r>
        <w:t xml:space="preserve"> and procedures</w:t>
      </w:r>
      <w:r w:rsidRPr="00F241BE">
        <w:t xml:space="preserve"> at an operational level where greater clarity is </w:t>
      </w:r>
      <w:r w:rsidR="00E60CD9">
        <w:t>important</w:t>
      </w:r>
      <w:r>
        <w:t xml:space="preserve"> to staff and whe</w:t>
      </w:r>
      <w:r w:rsidR="00E60CD9">
        <w:t xml:space="preserve">re </w:t>
      </w:r>
      <w:r w:rsidRPr="00F241BE">
        <w:t>transparency is expected.</w:t>
      </w:r>
      <w:r>
        <w:t xml:space="preserve"> </w:t>
      </w:r>
    </w:p>
    <w:p w14:paraId="1DB11CAB" w14:textId="77777777" w:rsidR="00FB120E" w:rsidRDefault="00FB120E" w:rsidP="00FB120E"/>
    <w:p w14:paraId="2EA5991C" w14:textId="77777777" w:rsidR="00FB120E" w:rsidRPr="00F241BE" w:rsidRDefault="00FB120E" w:rsidP="00FB120E">
      <w:r>
        <w:t>Where operational policies are inadequate or need to be improved, the executive director will bring recommendations for changes to the board.</w:t>
      </w:r>
    </w:p>
    <w:p w14:paraId="21EFA638" w14:textId="77777777" w:rsidR="00FB120E" w:rsidRPr="00F241BE" w:rsidRDefault="00FB120E" w:rsidP="00FB120E"/>
    <w:p w14:paraId="581A65E7" w14:textId="77777777" w:rsidR="00441837" w:rsidRDefault="00FB120E" w:rsidP="00FB120E">
      <w:r w:rsidRPr="00121248">
        <w:t xml:space="preserve">The Executive Director may delegate specific responsibilities and authority to staff. However, </w:t>
      </w:r>
      <w:r>
        <w:t xml:space="preserve">these </w:t>
      </w:r>
      <w:r w:rsidRPr="00121248">
        <w:t>responsibili</w:t>
      </w:r>
      <w:r>
        <w:t>ti</w:t>
      </w:r>
      <w:r w:rsidRPr="00121248">
        <w:t xml:space="preserve">es shall remain, from the board’s perspective, the work of the Executive </w:t>
      </w:r>
    </w:p>
    <w:p w14:paraId="0C875EB4" w14:textId="77777777" w:rsidR="00441837" w:rsidRDefault="00441837" w:rsidP="00FB120E"/>
    <w:p w14:paraId="43C02C7A" w14:textId="77777777" w:rsidR="00441837" w:rsidRDefault="00441837" w:rsidP="00FB120E"/>
    <w:p w14:paraId="01C888C7" w14:textId="4048CBD3" w:rsidR="00FB120E" w:rsidRPr="0048026F" w:rsidRDefault="00FB120E" w:rsidP="00FB120E">
      <w:r w:rsidRPr="00121248">
        <w:lastRenderedPageBreak/>
        <w:t xml:space="preserve">Director. </w:t>
      </w:r>
      <w:r>
        <w:t xml:space="preserve"> In other words, t</w:t>
      </w:r>
      <w:r w:rsidRPr="0048026F">
        <w:t xml:space="preserve">he Board shall hold the Executive Director accountable for </w:t>
      </w:r>
      <w:r w:rsidR="008A51A0">
        <w:t xml:space="preserve">the work </w:t>
      </w:r>
      <w:r w:rsidRPr="0048026F">
        <w:t>of the staff.</w:t>
      </w:r>
    </w:p>
    <w:p w14:paraId="0533EEA2" w14:textId="77777777" w:rsidR="00FB120E" w:rsidRPr="0048026F" w:rsidRDefault="00FB120E" w:rsidP="00FB120E"/>
    <w:p w14:paraId="34567EC1" w14:textId="1505A03A" w:rsidR="00FB120E" w:rsidRPr="00F241BE" w:rsidRDefault="00FB120E" w:rsidP="00FB120E">
      <w:r w:rsidRPr="00F241BE">
        <w:t xml:space="preserve">Only decisions of the Board, acting as a whole, </w:t>
      </w:r>
      <w:r w:rsidR="005305FB">
        <w:t xml:space="preserve"> </w:t>
      </w:r>
      <w:r>
        <w:t>are</w:t>
      </w:r>
      <w:r w:rsidRPr="00F241BE">
        <w:t xml:space="preserve"> binding upon the executive director. In particular</w:t>
      </w:r>
      <w:r>
        <w:t>:</w:t>
      </w:r>
    </w:p>
    <w:p w14:paraId="75498648" w14:textId="77777777" w:rsidR="00FB120E" w:rsidRPr="00F241BE" w:rsidRDefault="00FB120E" w:rsidP="00FB120E"/>
    <w:p w14:paraId="20B17F1B" w14:textId="2CE4CFFE" w:rsidR="00FB120E" w:rsidRPr="00F241BE" w:rsidRDefault="00FB120E" w:rsidP="00FB120E">
      <w:pPr>
        <w:pStyle w:val="ListParagraph"/>
        <w:numPr>
          <w:ilvl w:val="0"/>
          <w:numId w:val="13"/>
        </w:numPr>
        <w:ind w:left="360"/>
      </w:pPr>
      <w:r w:rsidRPr="00F241BE">
        <w:t xml:space="preserve">Decisions or instructions </w:t>
      </w:r>
      <w:r w:rsidR="00B470F5">
        <w:t>by</w:t>
      </w:r>
      <w:r w:rsidRPr="00F241BE">
        <w:t xml:space="preserve"> individual board members, officers or committees are not binding except where specific authorization is given by the board</w:t>
      </w:r>
    </w:p>
    <w:p w14:paraId="5465E787" w14:textId="163B6F2E" w:rsidR="00FB120E" w:rsidRPr="00F241BE" w:rsidRDefault="00FB120E" w:rsidP="00FB120E">
      <w:pPr>
        <w:pStyle w:val="ListParagraph"/>
        <w:numPr>
          <w:ilvl w:val="0"/>
          <w:numId w:val="13"/>
        </w:numPr>
        <w:ind w:left="360"/>
      </w:pPr>
      <w:r w:rsidRPr="00F241BE">
        <w:t xml:space="preserve">In the case of </w:t>
      </w:r>
      <w:r>
        <w:t xml:space="preserve">an individual </w:t>
      </w:r>
      <w:r w:rsidRPr="00F241BE">
        <w:t>board member</w:t>
      </w:r>
      <w:r>
        <w:t>’</w:t>
      </w:r>
      <w:r w:rsidRPr="00F241BE">
        <w:t xml:space="preserve">s or </w:t>
      </w:r>
      <w:r>
        <w:t xml:space="preserve">a </w:t>
      </w:r>
      <w:r w:rsidRPr="00F241BE">
        <w:t xml:space="preserve">committee’s request </w:t>
      </w:r>
      <w:r>
        <w:t xml:space="preserve">for </w:t>
      </w:r>
      <w:r w:rsidRPr="00F241BE">
        <w:t xml:space="preserve">information or assistance, the executive director </w:t>
      </w:r>
      <w:r>
        <w:t>may</w:t>
      </w:r>
      <w:r w:rsidRPr="00F241BE">
        <w:t xml:space="preserve"> refuse such requests, </w:t>
      </w:r>
      <w:r>
        <w:t>if</w:t>
      </w:r>
      <w:r w:rsidRPr="00F241BE">
        <w:t xml:space="preserve">, in the executive director’s judgment, </w:t>
      </w:r>
      <w:r>
        <w:t xml:space="preserve">the effort involved </w:t>
      </w:r>
      <w:r w:rsidRPr="00F241BE">
        <w:t>compromise</w:t>
      </w:r>
      <w:r>
        <w:t>s</w:t>
      </w:r>
      <w:r w:rsidRPr="00F241BE">
        <w:t xml:space="preserve"> </w:t>
      </w:r>
      <w:r>
        <w:t xml:space="preserve">more urgent priorities </w:t>
      </w:r>
    </w:p>
    <w:p w14:paraId="64701323" w14:textId="269DCC0A" w:rsidR="00FB120E" w:rsidRPr="00F241BE" w:rsidRDefault="00FB120E" w:rsidP="00FB120E">
      <w:pPr>
        <w:pStyle w:val="ListParagraph"/>
        <w:numPr>
          <w:ilvl w:val="0"/>
          <w:numId w:val="13"/>
        </w:numPr>
        <w:ind w:left="360"/>
      </w:pPr>
      <w:r w:rsidRPr="00F241BE">
        <w:t>The executive director may call upon individual board members for advice but since such advice does not carry the authority of the board, the accountability for resulting decisions rests solely with the executive director</w:t>
      </w:r>
    </w:p>
    <w:p w14:paraId="3A9B118A" w14:textId="77777777" w:rsidR="00FB120E" w:rsidRPr="00F241BE" w:rsidRDefault="00FB120E" w:rsidP="00FB120E"/>
    <w:p w14:paraId="69FC9D38" w14:textId="0EA966A4" w:rsidR="00FB120E" w:rsidRDefault="00FB120E" w:rsidP="00FB120E">
      <w:r w:rsidRPr="00121248">
        <w:t xml:space="preserve">Except for </w:t>
      </w:r>
      <w:r>
        <w:t xml:space="preserve">the </w:t>
      </w:r>
      <w:r w:rsidRPr="00121248">
        <w:t xml:space="preserve">incorporating bylaws, the board may, at any time, formally change the specifics of, or level of detail in, the governing policies </w:t>
      </w:r>
      <w:r>
        <w:t>possibly</w:t>
      </w:r>
      <w:r w:rsidRPr="00121248">
        <w:t xml:space="preserve"> shifting the boundaries between board and executive director responsibilities.</w:t>
      </w:r>
      <w:r>
        <w:t xml:space="preserve"> </w:t>
      </w:r>
      <w:r w:rsidRPr="00121248">
        <w:t>Otherwise</w:t>
      </w:r>
      <w:r>
        <w:t xml:space="preserve">, </w:t>
      </w:r>
      <w:r w:rsidRPr="00121248">
        <w:t>the board and all its members will respect and support the executive director’s decisions.</w:t>
      </w:r>
    </w:p>
    <w:p w14:paraId="1B284F21" w14:textId="77777777" w:rsidR="00FB120E" w:rsidRDefault="00FB120E" w:rsidP="00FB120E"/>
    <w:p w14:paraId="74705A09" w14:textId="77777777" w:rsidR="00FB120E" w:rsidRPr="00FC4D7F" w:rsidRDefault="00FB120E" w:rsidP="00FB120E">
      <w:pPr>
        <w:rPr>
          <w:i/>
          <w:iCs/>
        </w:rPr>
      </w:pPr>
      <w:r w:rsidRPr="00FC4D7F">
        <w:rPr>
          <w:i/>
          <w:iCs/>
        </w:rPr>
        <w:t xml:space="preserve">Note: This sample policy may be freely copied and adapted without permission by non-profit organizations for their own use. </w:t>
      </w:r>
    </w:p>
    <w:p w14:paraId="153AFC30" w14:textId="77777777" w:rsidR="00FB120E" w:rsidRPr="00121248" w:rsidRDefault="00FB120E" w:rsidP="00FB120E"/>
    <w:p w14:paraId="29DAA683" w14:textId="77777777" w:rsidR="00605DA0" w:rsidRPr="005E1381" w:rsidRDefault="00605DA0" w:rsidP="00FB120E">
      <w:pPr>
        <w:rPr>
          <w:rFonts w:asciiTheme="majorHAnsi" w:hAnsiTheme="majorHAnsi"/>
        </w:rPr>
      </w:pPr>
    </w:p>
    <w:sectPr w:rsidR="00605DA0" w:rsidRPr="005E1381" w:rsidSect="00D562F7">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134" w:right="1361" w:bottom="851" w:left="1361" w:header="1009"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D7B56" w14:textId="77777777" w:rsidR="000A6620" w:rsidRDefault="000A6620" w:rsidP="00D562F7">
      <w:r>
        <w:separator/>
      </w:r>
    </w:p>
  </w:endnote>
  <w:endnote w:type="continuationSeparator" w:id="0">
    <w:p w14:paraId="7F66841C" w14:textId="77777777" w:rsidR="000A6620" w:rsidRDefault="000A6620" w:rsidP="00D562F7">
      <w:r>
        <w:continuationSeparator/>
      </w:r>
    </w:p>
  </w:endnote>
  <w:endnote w:id="1">
    <w:p w14:paraId="12E98D17" w14:textId="77777777" w:rsidR="00FB120E" w:rsidRPr="00E47F37" w:rsidRDefault="00FB120E" w:rsidP="00FB120E">
      <w:pPr>
        <w:pStyle w:val="FootnoteText"/>
        <w:spacing w:after="0" w:line="240" w:lineRule="auto"/>
        <w:rPr>
          <w:rFonts w:asciiTheme="majorHAnsi" w:hAnsiTheme="majorHAnsi" w:cstheme="majorHAnsi"/>
          <w:sz w:val="22"/>
          <w:szCs w:val="22"/>
        </w:rPr>
      </w:pPr>
      <w:r>
        <w:rPr>
          <w:rStyle w:val="EndnoteReference"/>
        </w:rPr>
        <w:endnoteRef/>
      </w:r>
      <w:r>
        <w:t xml:space="preserve"> </w:t>
      </w:r>
      <w:r w:rsidRPr="00E47F37">
        <w:rPr>
          <w:rFonts w:asciiTheme="majorHAnsi" w:hAnsiTheme="majorHAnsi" w:cstheme="majorHAnsi"/>
          <w:sz w:val="22"/>
          <w:szCs w:val="22"/>
        </w:rPr>
        <w:t xml:space="preserve">The title and overall content of this sample policy has been influenced by ideas in John Carver’s Policy Governance Model. The model is thoroughly described in his book </w:t>
      </w:r>
      <w:r w:rsidRPr="00E47F37">
        <w:rPr>
          <w:rFonts w:asciiTheme="majorHAnsi" w:hAnsiTheme="majorHAnsi" w:cstheme="majorHAnsi"/>
          <w:i/>
          <w:iCs/>
          <w:sz w:val="22"/>
          <w:szCs w:val="22"/>
        </w:rPr>
        <w:t>Boards That Make a Difference: A New Design for Leadership in Nonprofit and Public Organizations</w:t>
      </w:r>
      <w:r w:rsidRPr="00E47F37">
        <w:rPr>
          <w:rFonts w:asciiTheme="majorHAnsi" w:hAnsiTheme="majorHAnsi" w:cstheme="majorHAnsi"/>
          <w:sz w:val="22"/>
          <w:szCs w:val="22"/>
        </w:rPr>
        <w:t>, Jossey Bass, 3rd edition, 2006.</w:t>
      </w:r>
    </w:p>
  </w:endnote>
  <w:endnote w:id="2">
    <w:p w14:paraId="24D6620E" w14:textId="77777777" w:rsidR="00FB120E" w:rsidRPr="00E47F37" w:rsidRDefault="00FB120E" w:rsidP="00FB120E">
      <w:pPr>
        <w:pStyle w:val="FootnoteText"/>
        <w:spacing w:after="0" w:line="240" w:lineRule="auto"/>
        <w:rPr>
          <w:rFonts w:asciiTheme="majorHAnsi" w:hAnsiTheme="majorHAnsi" w:cstheme="majorHAnsi"/>
          <w:sz w:val="22"/>
          <w:szCs w:val="22"/>
        </w:rPr>
      </w:pPr>
      <w:r>
        <w:rPr>
          <w:rStyle w:val="EndnoteReference"/>
        </w:rPr>
        <w:endnoteRef/>
      </w:r>
      <w:r>
        <w:t xml:space="preserve"> </w:t>
      </w:r>
      <w:r w:rsidRPr="00E47F37">
        <w:rPr>
          <w:rFonts w:asciiTheme="majorHAnsi" w:hAnsiTheme="majorHAnsi" w:cstheme="majorHAnsi"/>
          <w:sz w:val="22"/>
          <w:szCs w:val="22"/>
        </w:rPr>
        <w:t xml:space="preserve">This statement </w:t>
      </w:r>
      <w:r>
        <w:rPr>
          <w:rFonts w:asciiTheme="majorHAnsi" w:hAnsiTheme="majorHAnsi" w:cstheme="majorHAnsi"/>
          <w:sz w:val="22"/>
          <w:szCs w:val="22"/>
        </w:rPr>
        <w:t xml:space="preserve">seeks to </w:t>
      </w:r>
      <w:r w:rsidRPr="00E47F37">
        <w:rPr>
          <w:rFonts w:asciiTheme="majorHAnsi" w:hAnsiTheme="majorHAnsi" w:cstheme="majorHAnsi"/>
          <w:sz w:val="22"/>
          <w:szCs w:val="22"/>
        </w:rPr>
        <w:t>make it clear that the ED is not responsible for the functioning of the board.</w:t>
      </w:r>
    </w:p>
  </w:endnote>
  <w:endnote w:id="3">
    <w:p w14:paraId="4F7C7D7D" w14:textId="77777777" w:rsidR="00FB120E" w:rsidRPr="00E47F37" w:rsidRDefault="00FB120E" w:rsidP="00FB120E">
      <w:pPr>
        <w:pStyle w:val="FootnoteText"/>
        <w:spacing w:after="0" w:line="240" w:lineRule="auto"/>
        <w:rPr>
          <w:rFonts w:asciiTheme="majorHAnsi" w:hAnsiTheme="majorHAnsi" w:cstheme="majorHAnsi"/>
          <w:sz w:val="22"/>
          <w:szCs w:val="22"/>
        </w:rPr>
      </w:pPr>
      <w:r w:rsidRPr="00E47F37">
        <w:rPr>
          <w:rStyle w:val="EndnoteReference"/>
          <w:rFonts w:asciiTheme="majorHAnsi" w:hAnsiTheme="majorHAnsi" w:cstheme="majorHAnsi"/>
          <w:sz w:val="22"/>
          <w:szCs w:val="22"/>
        </w:rPr>
        <w:endnoteRef/>
      </w:r>
      <w:r w:rsidRPr="00E47F37">
        <w:rPr>
          <w:rFonts w:asciiTheme="majorHAnsi" w:hAnsiTheme="majorHAnsi" w:cstheme="majorHAnsi"/>
          <w:sz w:val="22"/>
          <w:szCs w:val="22"/>
        </w:rPr>
        <w:t xml:space="preserve"> Usually, the development of a strategic plan or set of current organizational objectives is a shared responsibility. Implementation of some specific strategic initiatives may also be shared. A board may assume responsibility for some matters including fundraising or contract negotiations.</w:t>
      </w:r>
    </w:p>
  </w:endnote>
  <w:endnote w:id="4">
    <w:p w14:paraId="75E70C68" w14:textId="77777777" w:rsidR="00FB120E" w:rsidRPr="00E47F37" w:rsidRDefault="00FB120E" w:rsidP="00FB120E">
      <w:pPr>
        <w:pStyle w:val="FootnoteText"/>
        <w:spacing w:after="0" w:line="240" w:lineRule="auto"/>
        <w:rPr>
          <w:rFonts w:asciiTheme="majorHAnsi" w:hAnsiTheme="majorHAnsi" w:cstheme="majorHAnsi"/>
          <w:sz w:val="22"/>
          <w:szCs w:val="22"/>
        </w:rPr>
      </w:pPr>
      <w:r w:rsidRPr="00E47F37">
        <w:rPr>
          <w:rStyle w:val="EndnoteReference"/>
          <w:rFonts w:asciiTheme="majorHAnsi" w:hAnsiTheme="majorHAnsi" w:cstheme="majorHAnsi"/>
          <w:sz w:val="22"/>
          <w:szCs w:val="22"/>
        </w:rPr>
        <w:endnoteRef/>
      </w:r>
      <w:r w:rsidRPr="00E47F37">
        <w:rPr>
          <w:rFonts w:asciiTheme="majorHAnsi" w:hAnsiTheme="majorHAnsi" w:cstheme="majorHAnsi"/>
          <w:sz w:val="22"/>
          <w:szCs w:val="22"/>
        </w:rPr>
        <w:t xml:space="preserve"> Responsibility for day-to-day financial management, including performance to budget, usually falls to the executive director. Board treasurers are more likely to serve in an advisory capacity to both the board and the executive director. </w:t>
      </w:r>
      <w:r>
        <w:rPr>
          <w:rFonts w:asciiTheme="majorHAnsi" w:hAnsiTheme="majorHAnsi" w:cstheme="majorHAnsi"/>
          <w:sz w:val="22"/>
          <w:szCs w:val="22"/>
        </w:rPr>
        <w:t xml:space="preserve">The existence of a </w:t>
      </w:r>
      <w:r w:rsidRPr="00E47F37">
        <w:rPr>
          <w:rFonts w:asciiTheme="majorHAnsi" w:hAnsiTheme="majorHAnsi" w:cstheme="majorHAnsi"/>
          <w:sz w:val="22"/>
          <w:szCs w:val="22"/>
        </w:rPr>
        <w:t xml:space="preserve">high-level financial management policy might be referenced here. </w:t>
      </w:r>
    </w:p>
  </w:endnote>
  <w:endnote w:id="5">
    <w:p w14:paraId="3BD3F67B" w14:textId="70951459" w:rsidR="00FB120E" w:rsidRPr="00E47F37" w:rsidRDefault="00FB120E" w:rsidP="00FB120E">
      <w:pPr>
        <w:pStyle w:val="EndnoteText"/>
        <w:rPr>
          <w:rFonts w:asciiTheme="majorHAnsi" w:hAnsiTheme="majorHAnsi" w:cstheme="majorHAnsi"/>
          <w:sz w:val="22"/>
          <w:szCs w:val="22"/>
        </w:rPr>
      </w:pPr>
      <w:r w:rsidRPr="00E47F37">
        <w:rPr>
          <w:rStyle w:val="EndnoteReference"/>
          <w:rFonts w:asciiTheme="majorHAnsi" w:hAnsiTheme="majorHAnsi" w:cstheme="majorHAnsi"/>
          <w:sz w:val="22"/>
          <w:szCs w:val="22"/>
        </w:rPr>
        <w:endnoteRef/>
      </w:r>
      <w:r w:rsidRPr="00E47F37">
        <w:rPr>
          <w:rFonts w:asciiTheme="majorHAnsi" w:hAnsiTheme="majorHAnsi" w:cstheme="majorHAnsi"/>
          <w:sz w:val="22"/>
          <w:szCs w:val="22"/>
        </w:rPr>
        <w:t xml:space="preserve"> The management of staff or employees are specifically mentioned </w:t>
      </w:r>
      <w:r w:rsidR="00E60CD9">
        <w:rPr>
          <w:rFonts w:asciiTheme="majorHAnsi" w:hAnsiTheme="majorHAnsi" w:cstheme="majorHAnsi"/>
          <w:sz w:val="22"/>
          <w:szCs w:val="22"/>
        </w:rPr>
        <w:t xml:space="preserve">given the importance of this role. The </w:t>
      </w:r>
      <w:r w:rsidRPr="00E47F37">
        <w:rPr>
          <w:rFonts w:asciiTheme="majorHAnsi" w:hAnsiTheme="majorHAnsi" w:cstheme="majorHAnsi"/>
          <w:sz w:val="22"/>
          <w:szCs w:val="22"/>
        </w:rPr>
        <w:t>HR principles the organization</w:t>
      </w:r>
      <w:r w:rsidR="00E60CD9">
        <w:rPr>
          <w:rFonts w:asciiTheme="majorHAnsi" w:hAnsiTheme="majorHAnsi" w:cstheme="majorHAnsi"/>
          <w:sz w:val="22"/>
          <w:szCs w:val="22"/>
        </w:rPr>
        <w:t xml:space="preserve"> </w:t>
      </w:r>
      <w:r w:rsidRPr="00E47F37">
        <w:rPr>
          <w:rFonts w:asciiTheme="majorHAnsi" w:hAnsiTheme="majorHAnsi" w:cstheme="majorHAnsi"/>
          <w:sz w:val="22"/>
          <w:szCs w:val="22"/>
        </w:rPr>
        <w:t>follow</w:t>
      </w:r>
      <w:r w:rsidR="00E60CD9">
        <w:rPr>
          <w:rFonts w:asciiTheme="majorHAnsi" w:hAnsiTheme="majorHAnsi" w:cstheme="majorHAnsi"/>
          <w:sz w:val="22"/>
          <w:szCs w:val="22"/>
        </w:rPr>
        <w:t>s</w:t>
      </w:r>
      <w:r w:rsidRPr="00E47F37">
        <w:rPr>
          <w:rFonts w:asciiTheme="majorHAnsi" w:hAnsiTheme="majorHAnsi" w:cstheme="majorHAnsi"/>
          <w:sz w:val="22"/>
          <w:szCs w:val="22"/>
        </w:rPr>
        <w:t xml:space="preserve"> </w:t>
      </w:r>
      <w:r w:rsidR="00E60CD9">
        <w:rPr>
          <w:rFonts w:asciiTheme="majorHAnsi" w:hAnsiTheme="majorHAnsi" w:cstheme="majorHAnsi"/>
          <w:sz w:val="22"/>
          <w:szCs w:val="22"/>
        </w:rPr>
        <w:t>should be</w:t>
      </w:r>
      <w:r w:rsidRPr="00E47F37">
        <w:rPr>
          <w:rFonts w:asciiTheme="majorHAnsi" w:hAnsiTheme="majorHAnsi" w:cstheme="majorHAnsi"/>
          <w:sz w:val="22"/>
          <w:szCs w:val="22"/>
        </w:rPr>
        <w:t xml:space="preserve"> </w:t>
      </w:r>
      <w:r w:rsidR="00E60CD9">
        <w:rPr>
          <w:rFonts w:asciiTheme="majorHAnsi" w:hAnsiTheme="majorHAnsi" w:cstheme="majorHAnsi"/>
          <w:sz w:val="22"/>
          <w:szCs w:val="22"/>
        </w:rPr>
        <w:t xml:space="preserve">described </w:t>
      </w:r>
      <w:r w:rsidRPr="00E47F37">
        <w:rPr>
          <w:rFonts w:asciiTheme="majorHAnsi" w:hAnsiTheme="majorHAnsi" w:cstheme="majorHAnsi"/>
          <w:sz w:val="22"/>
          <w:szCs w:val="22"/>
        </w:rPr>
        <w:t xml:space="preserve">more detail in its HR policies.  </w:t>
      </w:r>
    </w:p>
  </w:endnote>
  <w:endnote w:id="6">
    <w:p w14:paraId="186C490C" w14:textId="376036C6" w:rsidR="00FB120E" w:rsidRPr="00E47F37" w:rsidRDefault="00FB120E" w:rsidP="00295BB7">
      <w:pPr>
        <w:pStyle w:val="FootnoteText"/>
        <w:spacing w:after="0" w:line="240" w:lineRule="auto"/>
        <w:rPr>
          <w:rFonts w:asciiTheme="majorHAnsi" w:hAnsiTheme="majorHAnsi" w:cstheme="majorHAnsi"/>
          <w:sz w:val="22"/>
          <w:szCs w:val="22"/>
        </w:rPr>
      </w:pPr>
      <w:r w:rsidRPr="00E47F37">
        <w:rPr>
          <w:rStyle w:val="EndnoteReference"/>
          <w:rFonts w:asciiTheme="majorHAnsi" w:hAnsiTheme="majorHAnsi" w:cstheme="majorHAnsi"/>
          <w:sz w:val="22"/>
          <w:szCs w:val="22"/>
        </w:rPr>
        <w:endnoteRef/>
      </w:r>
      <w:r w:rsidRPr="00E47F37">
        <w:rPr>
          <w:rFonts w:asciiTheme="majorHAnsi" w:hAnsiTheme="majorHAnsi" w:cstheme="majorHAnsi"/>
          <w:sz w:val="22"/>
          <w:szCs w:val="22"/>
        </w:rPr>
        <w:t xml:space="preserve"> Financial management, human resource management, fundraising management, volunteer management and service quality are typically the main areas of board policy that set out operational instructions, principles </w:t>
      </w:r>
      <w:r>
        <w:rPr>
          <w:rFonts w:asciiTheme="majorHAnsi" w:hAnsiTheme="majorHAnsi" w:cstheme="majorHAnsi"/>
          <w:sz w:val="22"/>
          <w:szCs w:val="22"/>
        </w:rPr>
        <w:t xml:space="preserve">of practice </w:t>
      </w:r>
      <w:r w:rsidRPr="00E47F37">
        <w:rPr>
          <w:rFonts w:asciiTheme="majorHAnsi" w:hAnsiTheme="majorHAnsi" w:cstheme="majorHAnsi"/>
          <w:sz w:val="22"/>
          <w:szCs w:val="22"/>
        </w:rPr>
        <w:t xml:space="preserve">not </w:t>
      </w:r>
      <w:r>
        <w:rPr>
          <w:rFonts w:asciiTheme="majorHAnsi" w:hAnsiTheme="majorHAnsi" w:cstheme="majorHAnsi"/>
          <w:sz w:val="22"/>
          <w:szCs w:val="22"/>
        </w:rPr>
        <w:t xml:space="preserve">so much procedural </w:t>
      </w:r>
      <w:r w:rsidRPr="00E47F37">
        <w:rPr>
          <w:rFonts w:asciiTheme="majorHAnsi" w:hAnsiTheme="majorHAnsi" w:cstheme="majorHAnsi"/>
          <w:sz w:val="22"/>
          <w:szCs w:val="22"/>
        </w:rPr>
        <w:t>details, to the executive director.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58" w:type="dxa"/>
        <w:left w:w="115" w:type="dxa"/>
        <w:bottom w:w="58" w:type="dxa"/>
        <w:right w:w="115" w:type="dxa"/>
      </w:tblCellMar>
      <w:tblLook w:val="04A0" w:firstRow="1" w:lastRow="0" w:firstColumn="1" w:lastColumn="0" w:noHBand="0" w:noVBand="1"/>
    </w:tblPr>
    <w:tblGrid>
      <w:gridCol w:w="562"/>
      <w:gridCol w:w="8956"/>
    </w:tblGrid>
    <w:tr w:rsidR="005E1381" w14:paraId="45063E8B" w14:textId="77777777" w:rsidTr="005A6AB4">
      <w:tc>
        <w:tcPr>
          <w:tcW w:w="295" w:type="pct"/>
          <w:tcBorders>
            <w:right w:val="single" w:sz="18" w:space="0" w:color="4F81BD" w:themeColor="accent1"/>
          </w:tcBorders>
        </w:tcPr>
        <w:p w14:paraId="4C8764D5" w14:textId="77777777" w:rsidR="005E1381" w:rsidRPr="00412958" w:rsidRDefault="005E1381" w:rsidP="005A6AB4">
          <w:pPr>
            <w:pStyle w:val="Header"/>
            <w:rPr>
              <w:rFonts w:ascii="Calibri" w:hAnsi="Calibri"/>
              <w:b/>
              <w:color w:val="4F81BD" w:themeColor="accent1"/>
            </w:rPr>
          </w:pPr>
          <w:r w:rsidRPr="00412958">
            <w:rPr>
              <w:rFonts w:ascii="Calibri" w:hAnsi="Calibri"/>
              <w:b/>
              <w:color w:val="4F81BD" w:themeColor="accent1"/>
            </w:rPr>
            <w:fldChar w:fldCharType="begin"/>
          </w:r>
          <w:r w:rsidRPr="00412958">
            <w:rPr>
              <w:rFonts w:ascii="Calibri" w:hAnsi="Calibri"/>
              <w:b/>
              <w:color w:val="4F81BD" w:themeColor="accent1"/>
            </w:rPr>
            <w:instrText xml:space="preserve"> PAGE   \* MERGEFORMAT </w:instrText>
          </w:r>
          <w:r w:rsidRPr="00412958">
            <w:rPr>
              <w:rFonts w:ascii="Calibri" w:hAnsi="Calibri"/>
              <w:b/>
              <w:color w:val="4F81BD" w:themeColor="accent1"/>
            </w:rPr>
            <w:fldChar w:fldCharType="separate"/>
          </w:r>
          <w:r w:rsidR="000D6B1A">
            <w:rPr>
              <w:rFonts w:ascii="Calibri" w:hAnsi="Calibri"/>
              <w:b/>
              <w:noProof/>
              <w:color w:val="4F81BD" w:themeColor="accent1"/>
            </w:rPr>
            <w:t>2</w:t>
          </w:r>
          <w:r w:rsidRPr="00412958">
            <w:rPr>
              <w:rFonts w:ascii="Calibri" w:hAnsi="Calibri"/>
              <w:b/>
              <w:color w:val="4F81BD" w:themeColor="accent1"/>
            </w:rPr>
            <w:fldChar w:fldCharType="end"/>
          </w:r>
        </w:p>
      </w:tc>
      <w:sdt>
        <w:sdtPr>
          <w:rPr>
            <w:rFonts w:ascii="Calibri" w:eastAsiaTheme="majorEastAsia" w:hAnsi="Calibri" w:cstheme="majorBidi"/>
            <w:b/>
            <w:color w:val="4F81BD" w:themeColor="accent1"/>
          </w:rPr>
          <w:alias w:val="Title"/>
          <w:id w:val="2048640320"/>
          <w:placeholder>
            <w:docPart w:val="D5E8BBFAC775FF44B578BB32933CDA91"/>
          </w:placeholder>
          <w:dataBinding w:prefixMappings="xmlns:ns0='http://schemas.openxmlformats.org/package/2006/metadata/core-properties' xmlns:ns1='http://purl.org/dc/elements/1.1/'" w:xpath="/ns0:coreProperties[1]/ns1:title[1]" w:storeItemID="{6C3C8BC8-F283-45AE-878A-BAB7291924A1}"/>
          <w:text/>
        </w:sdtPr>
        <w:sdtEndPr/>
        <w:sdtContent>
          <w:tc>
            <w:tcPr>
              <w:tcW w:w="4705" w:type="pct"/>
              <w:tcBorders>
                <w:left w:val="single" w:sz="18" w:space="0" w:color="4F81BD" w:themeColor="accent1"/>
              </w:tcBorders>
            </w:tcPr>
            <w:p w14:paraId="01340DE8" w14:textId="0D716708" w:rsidR="005E1381" w:rsidRPr="00C7200C" w:rsidRDefault="00E60CD9" w:rsidP="005E1381">
              <w:pPr>
                <w:pStyle w:val="Header"/>
                <w:rPr>
                  <w:rFonts w:ascii="Calibri" w:eastAsiaTheme="majorEastAsia" w:hAnsi="Calibri" w:cstheme="majorBidi"/>
                  <w:b/>
                  <w:color w:val="4F81BD" w:themeColor="accent1"/>
                </w:rPr>
              </w:pPr>
              <w:r>
                <w:rPr>
                  <w:rFonts w:ascii="Calibri" w:eastAsiaTheme="majorEastAsia" w:hAnsi="Calibri" w:cstheme="majorBidi"/>
                  <w:b/>
                  <w:color w:val="4F81BD" w:themeColor="accent1"/>
                </w:rPr>
                <w:t>©2025 Governing Good</w:t>
              </w:r>
            </w:p>
          </w:tc>
        </w:sdtContent>
      </w:sdt>
    </w:tr>
  </w:tbl>
  <w:p w14:paraId="51CE1120" w14:textId="77777777" w:rsidR="005E1381" w:rsidRDefault="005E1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39D3" w14:textId="77777777" w:rsidR="00E60CD9" w:rsidRDefault="00E60C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58" w:type="dxa"/>
        <w:left w:w="115" w:type="dxa"/>
        <w:bottom w:w="58" w:type="dxa"/>
        <w:right w:w="115" w:type="dxa"/>
      </w:tblCellMar>
      <w:tblLook w:val="04A0" w:firstRow="1" w:lastRow="0" w:firstColumn="1" w:lastColumn="0" w:noHBand="0" w:noVBand="1"/>
    </w:tblPr>
    <w:tblGrid>
      <w:gridCol w:w="562"/>
      <w:gridCol w:w="8956"/>
    </w:tblGrid>
    <w:tr w:rsidR="00CE5F43" w14:paraId="35B9DC51" w14:textId="77777777" w:rsidTr="00D562F7">
      <w:tc>
        <w:tcPr>
          <w:tcW w:w="295" w:type="pct"/>
          <w:tcBorders>
            <w:right w:val="single" w:sz="18" w:space="0" w:color="4F81BD" w:themeColor="accent1"/>
          </w:tcBorders>
        </w:tcPr>
        <w:p w14:paraId="10183D3C" w14:textId="77777777" w:rsidR="00CE5F43" w:rsidRPr="00412958" w:rsidRDefault="00CE5F43" w:rsidP="00D562F7">
          <w:pPr>
            <w:pStyle w:val="Header"/>
            <w:rPr>
              <w:rFonts w:ascii="Calibri" w:hAnsi="Calibri"/>
              <w:b/>
              <w:color w:val="4F81BD" w:themeColor="accent1"/>
            </w:rPr>
          </w:pPr>
          <w:r w:rsidRPr="00412958">
            <w:rPr>
              <w:rFonts w:ascii="Calibri" w:hAnsi="Calibri"/>
              <w:b/>
              <w:color w:val="4F81BD" w:themeColor="accent1"/>
            </w:rPr>
            <w:fldChar w:fldCharType="begin"/>
          </w:r>
          <w:r w:rsidRPr="00412958">
            <w:rPr>
              <w:rFonts w:ascii="Calibri" w:hAnsi="Calibri"/>
              <w:b/>
              <w:color w:val="4F81BD" w:themeColor="accent1"/>
            </w:rPr>
            <w:instrText xml:space="preserve"> PAGE   \* MERGEFORMAT </w:instrText>
          </w:r>
          <w:r w:rsidRPr="00412958">
            <w:rPr>
              <w:rFonts w:ascii="Calibri" w:hAnsi="Calibri"/>
              <w:b/>
              <w:color w:val="4F81BD" w:themeColor="accent1"/>
            </w:rPr>
            <w:fldChar w:fldCharType="separate"/>
          </w:r>
          <w:r w:rsidR="000D6B1A">
            <w:rPr>
              <w:rFonts w:ascii="Calibri" w:hAnsi="Calibri"/>
              <w:b/>
              <w:noProof/>
              <w:color w:val="4F81BD" w:themeColor="accent1"/>
            </w:rPr>
            <w:t>1</w:t>
          </w:r>
          <w:r w:rsidRPr="00412958">
            <w:rPr>
              <w:rFonts w:ascii="Calibri" w:hAnsi="Calibri"/>
              <w:b/>
              <w:color w:val="4F81BD" w:themeColor="accent1"/>
            </w:rPr>
            <w:fldChar w:fldCharType="end"/>
          </w:r>
        </w:p>
      </w:tc>
      <w:sdt>
        <w:sdtPr>
          <w:rPr>
            <w:rFonts w:ascii="Calibri" w:eastAsiaTheme="majorEastAsia" w:hAnsi="Calibri" w:cstheme="majorBidi"/>
            <w:b/>
            <w:color w:val="4F81BD" w:themeColor="accent1"/>
          </w:rPr>
          <w:alias w:val="Title"/>
          <w:id w:val="177129825"/>
          <w:dataBinding w:prefixMappings="xmlns:ns0='http://schemas.openxmlformats.org/package/2006/metadata/core-properties' xmlns:ns1='http://purl.org/dc/elements/1.1/'" w:xpath="/ns0:coreProperties[1]/ns1:title[1]" w:storeItemID="{6C3C8BC8-F283-45AE-878A-BAB7291924A1}"/>
          <w:text/>
        </w:sdtPr>
        <w:sdtEndPr/>
        <w:sdtContent>
          <w:tc>
            <w:tcPr>
              <w:tcW w:w="4705" w:type="pct"/>
              <w:tcBorders>
                <w:left w:val="single" w:sz="18" w:space="0" w:color="4F81BD" w:themeColor="accent1"/>
              </w:tcBorders>
            </w:tcPr>
            <w:p w14:paraId="0CF1DD0C" w14:textId="30C71054" w:rsidR="00CE5F43" w:rsidRPr="00C7200C" w:rsidRDefault="005E1381" w:rsidP="005E1381">
              <w:pPr>
                <w:pStyle w:val="Header"/>
                <w:rPr>
                  <w:rFonts w:ascii="Calibri" w:eastAsiaTheme="majorEastAsia" w:hAnsi="Calibri" w:cstheme="majorBidi"/>
                  <w:b/>
                  <w:color w:val="4F81BD" w:themeColor="accent1"/>
                </w:rPr>
              </w:pPr>
              <w:r>
                <w:rPr>
                  <w:rFonts w:ascii="Calibri" w:eastAsiaTheme="majorEastAsia" w:hAnsi="Calibri" w:cstheme="majorBidi"/>
                  <w:b/>
                  <w:color w:val="4F81BD" w:themeColor="accent1"/>
                </w:rPr>
                <w:t>©202</w:t>
              </w:r>
              <w:r w:rsidR="00E60CD9">
                <w:rPr>
                  <w:rFonts w:ascii="Calibri" w:eastAsiaTheme="majorEastAsia" w:hAnsi="Calibri" w:cstheme="majorBidi"/>
                  <w:b/>
                  <w:color w:val="4F81BD" w:themeColor="accent1"/>
                </w:rPr>
                <w:t>5</w:t>
              </w:r>
              <w:r>
                <w:rPr>
                  <w:rFonts w:ascii="Calibri" w:eastAsiaTheme="majorEastAsia" w:hAnsi="Calibri" w:cstheme="majorBidi"/>
                  <w:b/>
                  <w:color w:val="4F81BD" w:themeColor="accent1"/>
                </w:rPr>
                <w:t xml:space="preserve"> Governing Good</w:t>
              </w:r>
            </w:p>
          </w:tc>
        </w:sdtContent>
      </w:sdt>
    </w:tr>
  </w:tbl>
  <w:p w14:paraId="27208560" w14:textId="77777777" w:rsidR="00CE5F43" w:rsidRDefault="00CE5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5F96C" w14:textId="77777777" w:rsidR="000A6620" w:rsidRDefault="000A6620" w:rsidP="00D562F7">
      <w:r>
        <w:separator/>
      </w:r>
    </w:p>
  </w:footnote>
  <w:footnote w:type="continuationSeparator" w:id="0">
    <w:p w14:paraId="3C724E52" w14:textId="77777777" w:rsidR="000A6620" w:rsidRDefault="000A6620" w:rsidP="00D56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210A" w14:textId="4AD2E287" w:rsidR="005E1381" w:rsidRPr="005E1381" w:rsidRDefault="005E1381" w:rsidP="005E1381">
    <w:pPr>
      <w:pStyle w:val="Header"/>
      <w:jc w:val="right"/>
      <w:rPr>
        <w:rFonts w:asciiTheme="majorHAnsi" w:hAnsiTheme="majorHAnsi"/>
        <w:sz w:val="20"/>
        <w:szCs w:val="20"/>
      </w:rPr>
    </w:pPr>
    <w:r w:rsidRPr="005E1381">
      <w:rPr>
        <w:rFonts w:asciiTheme="majorHAnsi" w:hAnsiTheme="majorHAnsi"/>
        <w:sz w:val="20"/>
        <w:szCs w:val="20"/>
      </w:rPr>
      <w:t>Sample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8C182" w14:textId="77777777" w:rsidR="00E60CD9" w:rsidRDefault="00E60C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349F" w14:textId="25A98027" w:rsidR="00CE5F43" w:rsidRPr="00D562F7" w:rsidRDefault="00CE5F43" w:rsidP="00D562F7">
    <w:pPr>
      <w:pStyle w:val="Header"/>
      <w:jc w:val="right"/>
      <w:rPr>
        <w:rFonts w:asciiTheme="majorHAnsi" w:hAnsiTheme="majorHAnsi"/>
        <w:sz w:val="20"/>
        <w:szCs w:val="20"/>
      </w:rPr>
    </w:pPr>
    <w:r w:rsidRPr="00D562F7">
      <w:rPr>
        <w:rFonts w:asciiTheme="majorHAnsi" w:hAnsiTheme="majorHAnsi"/>
        <w:sz w:val="20"/>
        <w:szCs w:val="20"/>
      </w:rPr>
      <w:t>Sample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08C7EB5"/>
    <w:multiLevelType w:val="hybridMultilevel"/>
    <w:tmpl w:val="4EA0AD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F0D9F"/>
    <w:multiLevelType w:val="hybridMultilevel"/>
    <w:tmpl w:val="687C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60A79"/>
    <w:multiLevelType w:val="hybridMultilevel"/>
    <w:tmpl w:val="402C5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EB3D32"/>
    <w:multiLevelType w:val="hybridMultilevel"/>
    <w:tmpl w:val="D87C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465265"/>
    <w:multiLevelType w:val="hybridMultilevel"/>
    <w:tmpl w:val="40B60044"/>
    <w:lvl w:ilvl="0" w:tplc="0000000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6E1A55"/>
    <w:multiLevelType w:val="hybridMultilevel"/>
    <w:tmpl w:val="519C4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2C4657"/>
    <w:multiLevelType w:val="hybridMultilevel"/>
    <w:tmpl w:val="6CAEF0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CB098C"/>
    <w:multiLevelType w:val="hybridMultilevel"/>
    <w:tmpl w:val="C9A2E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CC5D0D"/>
    <w:multiLevelType w:val="hybridMultilevel"/>
    <w:tmpl w:val="0E5649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B4E332C"/>
    <w:multiLevelType w:val="hybridMultilevel"/>
    <w:tmpl w:val="AE580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5508688">
    <w:abstractNumId w:val="5"/>
  </w:num>
  <w:num w:numId="2" w16cid:durableId="1822888224">
    <w:abstractNumId w:val="0"/>
  </w:num>
  <w:num w:numId="3" w16cid:durableId="2009553321">
    <w:abstractNumId w:val="1"/>
  </w:num>
  <w:num w:numId="4" w16cid:durableId="1536581173">
    <w:abstractNumId w:val="2"/>
  </w:num>
  <w:num w:numId="5" w16cid:durableId="845749795">
    <w:abstractNumId w:val="11"/>
  </w:num>
  <w:num w:numId="6" w16cid:durableId="571475646">
    <w:abstractNumId w:val="10"/>
  </w:num>
  <w:num w:numId="7" w16cid:durableId="216481200">
    <w:abstractNumId w:val="7"/>
  </w:num>
  <w:num w:numId="8" w16cid:durableId="2133591319">
    <w:abstractNumId w:val="6"/>
  </w:num>
  <w:num w:numId="9" w16cid:durableId="116222347">
    <w:abstractNumId w:val="8"/>
  </w:num>
  <w:num w:numId="10" w16cid:durableId="2029328997">
    <w:abstractNumId w:val="4"/>
  </w:num>
  <w:num w:numId="11" w16cid:durableId="1132140219">
    <w:abstractNumId w:val="12"/>
  </w:num>
  <w:num w:numId="12" w16cid:durableId="1485659521">
    <w:abstractNumId w:val="3"/>
  </w:num>
  <w:num w:numId="13" w16cid:durableId="16670539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embedSystemFonts/>
  <w:proofState w:spelling="clean" w:grammar="clean"/>
  <w:defaultTabStop w:val="720"/>
  <w:evenAndOddHeaders/>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26E"/>
    <w:rsid w:val="00015B83"/>
    <w:rsid w:val="000563F7"/>
    <w:rsid w:val="000A6620"/>
    <w:rsid w:val="000D6B1A"/>
    <w:rsid w:val="000E7FD6"/>
    <w:rsid w:val="001603D0"/>
    <w:rsid w:val="00182E3A"/>
    <w:rsid w:val="001B34DF"/>
    <w:rsid w:val="001D7F74"/>
    <w:rsid w:val="001E1779"/>
    <w:rsid w:val="001E4B5E"/>
    <w:rsid w:val="001F4366"/>
    <w:rsid w:val="00211BF1"/>
    <w:rsid w:val="00295BB7"/>
    <w:rsid w:val="002D1BC0"/>
    <w:rsid w:val="002D35C6"/>
    <w:rsid w:val="002F7AB1"/>
    <w:rsid w:val="003075EA"/>
    <w:rsid w:val="00344F65"/>
    <w:rsid w:val="003A6CCA"/>
    <w:rsid w:val="003F27DC"/>
    <w:rsid w:val="00441837"/>
    <w:rsid w:val="004454DD"/>
    <w:rsid w:val="0045345D"/>
    <w:rsid w:val="004741B5"/>
    <w:rsid w:val="004A3B89"/>
    <w:rsid w:val="004E3EF1"/>
    <w:rsid w:val="005028AD"/>
    <w:rsid w:val="005305FB"/>
    <w:rsid w:val="00532CAB"/>
    <w:rsid w:val="00580622"/>
    <w:rsid w:val="005E1381"/>
    <w:rsid w:val="005E278F"/>
    <w:rsid w:val="005F264F"/>
    <w:rsid w:val="00605DA0"/>
    <w:rsid w:val="00680E60"/>
    <w:rsid w:val="0068250E"/>
    <w:rsid w:val="00686589"/>
    <w:rsid w:val="006A6D21"/>
    <w:rsid w:val="007735E1"/>
    <w:rsid w:val="00837E17"/>
    <w:rsid w:val="008678D0"/>
    <w:rsid w:val="008832E0"/>
    <w:rsid w:val="008918D5"/>
    <w:rsid w:val="008A51A0"/>
    <w:rsid w:val="008E4D83"/>
    <w:rsid w:val="00944F8D"/>
    <w:rsid w:val="0095226E"/>
    <w:rsid w:val="009D11E2"/>
    <w:rsid w:val="009F4C56"/>
    <w:rsid w:val="00A05872"/>
    <w:rsid w:val="00A60A6C"/>
    <w:rsid w:val="00A77B38"/>
    <w:rsid w:val="00B15846"/>
    <w:rsid w:val="00B470F5"/>
    <w:rsid w:val="00B52C78"/>
    <w:rsid w:val="00B62B98"/>
    <w:rsid w:val="00BC243E"/>
    <w:rsid w:val="00BF7FC6"/>
    <w:rsid w:val="00CE5F43"/>
    <w:rsid w:val="00D076BC"/>
    <w:rsid w:val="00D562F7"/>
    <w:rsid w:val="00D95087"/>
    <w:rsid w:val="00DF71E4"/>
    <w:rsid w:val="00E60CD9"/>
    <w:rsid w:val="00F47002"/>
    <w:rsid w:val="00FB120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39C026"/>
  <w15:docId w15:val="{9240F2D6-C4E8-FE43-9198-70721FB9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26E"/>
    <w:pPr>
      <w:ind w:left="720"/>
      <w:contextualSpacing/>
    </w:pPr>
  </w:style>
  <w:style w:type="paragraph" w:styleId="BalloonText">
    <w:name w:val="Balloon Text"/>
    <w:basedOn w:val="Normal"/>
    <w:link w:val="BalloonTextChar"/>
    <w:uiPriority w:val="99"/>
    <w:semiHidden/>
    <w:unhideWhenUsed/>
    <w:rsid w:val="00344F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4F65"/>
    <w:rPr>
      <w:rFonts w:ascii="Lucida Grande" w:hAnsi="Lucida Grande" w:cs="Lucida Grande"/>
      <w:sz w:val="18"/>
      <w:szCs w:val="18"/>
    </w:rPr>
  </w:style>
  <w:style w:type="paragraph" w:styleId="Header">
    <w:name w:val="header"/>
    <w:basedOn w:val="Normal"/>
    <w:link w:val="HeaderChar"/>
    <w:uiPriority w:val="99"/>
    <w:unhideWhenUsed/>
    <w:rsid w:val="00D562F7"/>
    <w:pPr>
      <w:tabs>
        <w:tab w:val="center" w:pos="4320"/>
        <w:tab w:val="right" w:pos="8640"/>
      </w:tabs>
    </w:pPr>
  </w:style>
  <w:style w:type="character" w:customStyle="1" w:styleId="HeaderChar">
    <w:name w:val="Header Char"/>
    <w:basedOn w:val="DefaultParagraphFont"/>
    <w:link w:val="Header"/>
    <w:uiPriority w:val="99"/>
    <w:rsid w:val="00D562F7"/>
  </w:style>
  <w:style w:type="paragraph" w:styleId="Footer">
    <w:name w:val="footer"/>
    <w:basedOn w:val="Normal"/>
    <w:link w:val="FooterChar"/>
    <w:uiPriority w:val="99"/>
    <w:unhideWhenUsed/>
    <w:rsid w:val="00D562F7"/>
    <w:pPr>
      <w:tabs>
        <w:tab w:val="center" w:pos="4320"/>
        <w:tab w:val="right" w:pos="8640"/>
      </w:tabs>
    </w:pPr>
  </w:style>
  <w:style w:type="character" w:customStyle="1" w:styleId="FooterChar">
    <w:name w:val="Footer Char"/>
    <w:basedOn w:val="DefaultParagraphFont"/>
    <w:link w:val="Footer"/>
    <w:uiPriority w:val="99"/>
    <w:rsid w:val="00D562F7"/>
  </w:style>
  <w:style w:type="paragraph" w:styleId="EndnoteText">
    <w:name w:val="endnote text"/>
    <w:basedOn w:val="Normal"/>
    <w:link w:val="EndnoteTextChar"/>
    <w:uiPriority w:val="99"/>
    <w:semiHidden/>
    <w:unhideWhenUsed/>
    <w:rsid w:val="008832E0"/>
    <w:rPr>
      <w:sz w:val="20"/>
      <w:szCs w:val="20"/>
    </w:rPr>
  </w:style>
  <w:style w:type="character" w:customStyle="1" w:styleId="EndnoteTextChar">
    <w:name w:val="Endnote Text Char"/>
    <w:basedOn w:val="DefaultParagraphFont"/>
    <w:link w:val="EndnoteText"/>
    <w:uiPriority w:val="99"/>
    <w:semiHidden/>
    <w:rsid w:val="008832E0"/>
    <w:rPr>
      <w:sz w:val="20"/>
      <w:szCs w:val="20"/>
    </w:rPr>
  </w:style>
  <w:style w:type="character" w:styleId="EndnoteReference">
    <w:name w:val="endnote reference"/>
    <w:basedOn w:val="DefaultParagraphFont"/>
    <w:uiPriority w:val="99"/>
    <w:semiHidden/>
    <w:unhideWhenUsed/>
    <w:rsid w:val="008832E0"/>
    <w:rPr>
      <w:vertAlign w:val="superscript"/>
    </w:rPr>
  </w:style>
  <w:style w:type="paragraph" w:styleId="FootnoteText">
    <w:name w:val="footnote text"/>
    <w:basedOn w:val="Normal"/>
    <w:link w:val="FootnoteTextChar"/>
    <w:uiPriority w:val="99"/>
    <w:unhideWhenUsed/>
    <w:rsid w:val="00FB120E"/>
    <w:pPr>
      <w:spacing w:after="200" w:line="276" w:lineRule="auto"/>
    </w:pPr>
    <w:rPr>
      <w:rFonts w:ascii="Times New Roman" w:eastAsia="Times New Roman" w:hAnsi="Times New Roman" w:cs="Times New Roman"/>
      <w:lang w:val="en-US" w:bidi="en-US"/>
    </w:rPr>
  </w:style>
  <w:style w:type="character" w:customStyle="1" w:styleId="FootnoteTextChar">
    <w:name w:val="Footnote Text Char"/>
    <w:basedOn w:val="DefaultParagraphFont"/>
    <w:link w:val="FootnoteText"/>
    <w:uiPriority w:val="99"/>
    <w:rsid w:val="00FB120E"/>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27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E8BBFAC775FF44B578BB32933CDA91"/>
        <w:category>
          <w:name w:val="General"/>
          <w:gallery w:val="placeholder"/>
        </w:category>
        <w:types>
          <w:type w:val="bbPlcHdr"/>
        </w:types>
        <w:behaviors>
          <w:behavior w:val="content"/>
        </w:behaviors>
        <w:guid w:val="{ABCA2E3D-C997-9445-BA2B-EC0EE24F945E}"/>
      </w:docPartPr>
      <w:docPartBody>
        <w:p w:rsidR="00436C21" w:rsidRDefault="00E013B0" w:rsidP="00E013B0">
          <w:pPr>
            <w:pStyle w:val="D5E8BBFAC775FF44B578BB32933CDA91"/>
          </w:pPr>
          <w:r>
            <w:rPr>
              <w:rFonts w:asciiTheme="majorHAnsi" w:eastAsiaTheme="majorEastAsia" w:hAnsiTheme="majorHAnsi" w:cstheme="majorBidi"/>
              <w:color w:val="4472C4" w:themeColor="accent1"/>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0371"/>
    <w:rsid w:val="002F3CF3"/>
    <w:rsid w:val="00400371"/>
    <w:rsid w:val="00436C21"/>
    <w:rsid w:val="00677900"/>
    <w:rsid w:val="00702FA0"/>
    <w:rsid w:val="007247AE"/>
    <w:rsid w:val="009E2150"/>
    <w:rsid w:val="00E013B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E8BBFAC775FF44B578BB32933CDA91">
    <w:name w:val="D5E8BBFAC775FF44B578BB32933CDA91"/>
    <w:rsid w:val="00E01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7D54E-1990-0A49-B5F0-4DFED4D3C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©2024 Governing Good</vt:lpstr>
    </vt:vector>
  </TitlesOfParts>
  <Company>Dalhousie University</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Governing Good</dc:title>
  <dc:subject/>
  <dc:creator>E Grant MacDonald</dc:creator>
  <cp:keywords/>
  <dc:description/>
  <cp:lastModifiedBy>E Grant MacDonald</cp:lastModifiedBy>
  <cp:revision>5</cp:revision>
  <cp:lastPrinted>2025-09-04T10:47:00Z</cp:lastPrinted>
  <dcterms:created xsi:type="dcterms:W3CDTF">2025-09-04T10:47:00Z</dcterms:created>
  <dcterms:modified xsi:type="dcterms:W3CDTF">2025-09-22T21:54:00Z</dcterms:modified>
</cp:coreProperties>
</file>